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F744BC" w14:textId="54A7F14F" w:rsidR="00F265FE" w:rsidRPr="00B83572" w:rsidRDefault="00E41D9B" w:rsidP="00CF5818">
      <w:pPr>
        <w:pStyle w:val="Heading1"/>
        <w:jc w:val="both"/>
        <w:rPr>
          <w:rFonts w:eastAsia="Calibri" w:cs="Calibri"/>
          <w:sz w:val="22"/>
          <w:szCs w:val="22"/>
        </w:rPr>
      </w:pPr>
      <w:r>
        <w:t xml:space="preserve">Fullständiga </w:t>
      </w:r>
      <w:r w:rsidR="00174ED5">
        <w:t xml:space="preserve">Villkor för </w:t>
      </w:r>
      <w:r w:rsidR="00751442">
        <w:t>Konvertibler</w:t>
      </w:r>
      <w:r w:rsidR="00174ED5">
        <w:t xml:space="preserve"> </w:t>
      </w:r>
      <w:r w:rsidR="00487B03">
        <w:t xml:space="preserve">av </w:t>
      </w:r>
      <w:r w:rsidR="00487B03" w:rsidRPr="00326E78">
        <w:t xml:space="preserve">serie </w:t>
      </w:r>
      <w:r w:rsidR="00751442" w:rsidRPr="00326E78">
        <w:t>2019/202</w:t>
      </w:r>
      <w:r w:rsidR="00E85C83">
        <w:t>4</w:t>
      </w:r>
      <w:r w:rsidR="00714623" w:rsidRPr="00326E78">
        <w:t xml:space="preserve"> </w:t>
      </w:r>
      <w:r w:rsidR="00174ED5" w:rsidRPr="00326E78">
        <w:t xml:space="preserve">i </w:t>
      </w:r>
      <w:r w:rsidR="00751442" w:rsidRPr="00326E78">
        <w:t>Rejlers</w:t>
      </w:r>
      <w:r w:rsidR="00751442">
        <w:t xml:space="preserve"> </w:t>
      </w:r>
      <w:r w:rsidR="005B1F48">
        <w:t xml:space="preserve">Ab </w:t>
      </w:r>
      <w:r w:rsidR="00B83572" w:rsidRPr="00B83572">
        <w:t>(publ)</w:t>
      </w:r>
    </w:p>
    <w:p w14:paraId="6914B6FD" w14:textId="77777777" w:rsidR="00F265FE" w:rsidRDefault="00174ED5" w:rsidP="00CF5818">
      <w:pPr>
        <w:pStyle w:val="Heading2"/>
        <w:jc w:val="both"/>
      </w:pPr>
      <w:r>
        <w:t>§ 1 Definitioner</w:t>
      </w:r>
    </w:p>
    <w:p w14:paraId="5ABCE7D1" w14:textId="77777777" w:rsidR="00F265FE" w:rsidRDefault="00174ED5" w:rsidP="00CF5818">
      <w:pPr>
        <w:jc w:val="both"/>
      </w:pPr>
      <w:r>
        <w:t xml:space="preserve">I föreliggande villkor ska följande benämningar ha </w:t>
      </w:r>
      <w:r w:rsidR="00751442">
        <w:t>den innebörd som angivits nedan;</w:t>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335"/>
        <w:gridCol w:w="6169"/>
      </w:tblGrid>
      <w:tr w:rsidR="00F265FE" w14:paraId="48A104C6" w14:textId="77777777">
        <w:trPr>
          <w:tblCellSpacing w:w="7" w:type="dxa"/>
        </w:trPr>
        <w:tc>
          <w:tcPr>
            <w:tcW w:w="0" w:type="auto"/>
          </w:tcPr>
          <w:p w14:paraId="1C1629F3" w14:textId="77777777" w:rsidR="00F265FE" w:rsidRPr="00DE077F" w:rsidRDefault="00174ED5" w:rsidP="00CF5818">
            <w:pPr>
              <w:jc w:val="both"/>
            </w:pPr>
            <w:r w:rsidRPr="00DE077F">
              <w:rPr>
                <w:b/>
              </w:rPr>
              <w:t>”Aktie”</w:t>
            </w:r>
          </w:p>
        </w:tc>
        <w:tc>
          <w:tcPr>
            <w:tcW w:w="0" w:type="auto"/>
          </w:tcPr>
          <w:p w14:paraId="19540DC5" w14:textId="77777777" w:rsidR="00F265FE" w:rsidRPr="00DE077F" w:rsidRDefault="00174ED5" w:rsidP="00CF5818">
            <w:pPr>
              <w:jc w:val="both"/>
            </w:pPr>
            <w:r w:rsidRPr="00DE077F">
              <w:t xml:space="preserve">aktie </w:t>
            </w:r>
            <w:r w:rsidR="00CB5132">
              <w:t>i B</w:t>
            </w:r>
            <w:r w:rsidRPr="00DE077F">
              <w:t>olaget;</w:t>
            </w:r>
          </w:p>
        </w:tc>
      </w:tr>
      <w:tr w:rsidR="00F265FE" w14:paraId="3A01E082" w14:textId="77777777">
        <w:trPr>
          <w:tblCellSpacing w:w="7" w:type="dxa"/>
        </w:trPr>
        <w:tc>
          <w:tcPr>
            <w:tcW w:w="0" w:type="auto"/>
          </w:tcPr>
          <w:p w14:paraId="64410156" w14:textId="77777777" w:rsidR="00F265FE" w:rsidRPr="00DE077F" w:rsidRDefault="00174ED5" w:rsidP="00CF5818">
            <w:pPr>
              <w:jc w:val="both"/>
              <w:rPr>
                <w:b/>
              </w:rPr>
            </w:pPr>
            <w:r w:rsidRPr="00DE077F">
              <w:rPr>
                <w:b/>
              </w:rPr>
              <w:t>”Avstämningskonto”</w:t>
            </w:r>
          </w:p>
        </w:tc>
        <w:tc>
          <w:tcPr>
            <w:tcW w:w="0" w:type="auto"/>
          </w:tcPr>
          <w:p w14:paraId="2CDD1F2E" w14:textId="028012F1" w:rsidR="00F265FE" w:rsidRPr="00DE077F" w:rsidRDefault="00174ED5" w:rsidP="00CF5818">
            <w:pPr>
              <w:jc w:val="both"/>
            </w:pPr>
            <w:r w:rsidRPr="00DE077F">
              <w:t xml:space="preserve">konto vid </w:t>
            </w:r>
            <w:proofErr w:type="spellStart"/>
            <w:r w:rsidRPr="00DE077F">
              <w:t>Euroclear</w:t>
            </w:r>
            <w:proofErr w:type="spellEnd"/>
            <w:r w:rsidR="005B1F48">
              <w:t xml:space="preserve"> Sweden</w:t>
            </w:r>
            <w:r w:rsidRPr="00DE077F">
              <w:t xml:space="preserve"> för registrering av sådana finansiella instrument som anges i lagen (1998:1479) om värdepapperscentraler och kontoföring av finansiella instrument;</w:t>
            </w:r>
          </w:p>
        </w:tc>
      </w:tr>
      <w:tr w:rsidR="00F265FE" w14:paraId="3E2E41EF" w14:textId="77777777">
        <w:trPr>
          <w:tblCellSpacing w:w="7" w:type="dxa"/>
        </w:trPr>
        <w:tc>
          <w:tcPr>
            <w:tcW w:w="0" w:type="auto"/>
          </w:tcPr>
          <w:p w14:paraId="750EA8ED" w14:textId="77777777" w:rsidR="00F265FE" w:rsidRPr="00751442" w:rsidRDefault="00174ED5" w:rsidP="00CF5818">
            <w:pPr>
              <w:jc w:val="both"/>
              <w:rPr>
                <w:b/>
              </w:rPr>
            </w:pPr>
            <w:r w:rsidRPr="00751442">
              <w:rPr>
                <w:b/>
              </w:rPr>
              <w:t>”Bankdag”</w:t>
            </w:r>
          </w:p>
        </w:tc>
        <w:tc>
          <w:tcPr>
            <w:tcW w:w="0" w:type="auto"/>
          </w:tcPr>
          <w:p w14:paraId="4E7373CC" w14:textId="77777777" w:rsidR="00F265FE" w:rsidRDefault="00174ED5" w:rsidP="00CF5818">
            <w:pPr>
              <w:jc w:val="both"/>
            </w:pPr>
            <w:r>
              <w:t>dag som i Sverige inte är söndag eller annan allmän helgdag eller som beträffande betalning av skuldebrev inte är likställd med allmän helgdag i Sverige;</w:t>
            </w:r>
          </w:p>
        </w:tc>
      </w:tr>
      <w:tr w:rsidR="00751442" w14:paraId="1AC9BAE7" w14:textId="77777777">
        <w:trPr>
          <w:tblCellSpacing w:w="7" w:type="dxa"/>
        </w:trPr>
        <w:tc>
          <w:tcPr>
            <w:tcW w:w="0" w:type="auto"/>
          </w:tcPr>
          <w:p w14:paraId="0FA44C16" w14:textId="77777777" w:rsidR="00751442" w:rsidRPr="00751442" w:rsidRDefault="00751442" w:rsidP="00CF5818">
            <w:pPr>
              <w:jc w:val="both"/>
              <w:rPr>
                <w:b/>
              </w:rPr>
            </w:pPr>
            <w:r w:rsidRPr="00751442">
              <w:rPr>
                <w:b/>
              </w:rPr>
              <w:t>”Banken”</w:t>
            </w:r>
          </w:p>
        </w:tc>
        <w:tc>
          <w:tcPr>
            <w:tcW w:w="0" w:type="auto"/>
          </w:tcPr>
          <w:p w14:paraId="2D07AECD" w14:textId="77777777" w:rsidR="00751442" w:rsidRDefault="00751442" w:rsidP="00CF5818">
            <w:pPr>
              <w:jc w:val="both"/>
            </w:pPr>
            <w:r w:rsidRPr="00751442">
              <w:t>avser den bank eller det kontoförande inst</w:t>
            </w:r>
            <w:bookmarkStart w:id="0" w:name="_GoBack"/>
            <w:bookmarkEnd w:id="0"/>
            <w:r w:rsidRPr="00751442">
              <w:t>itut som Bolaget från tid till annan utsett att handha vissa uppgifter enligt dessa villkor</w:t>
            </w:r>
            <w:r>
              <w:t>;</w:t>
            </w:r>
          </w:p>
        </w:tc>
      </w:tr>
      <w:tr w:rsidR="00F265FE" w:rsidRPr="00894620" w14:paraId="0C3090DF" w14:textId="77777777">
        <w:trPr>
          <w:tblCellSpacing w:w="7" w:type="dxa"/>
        </w:trPr>
        <w:tc>
          <w:tcPr>
            <w:tcW w:w="0" w:type="auto"/>
          </w:tcPr>
          <w:p w14:paraId="4813EDE2" w14:textId="77777777" w:rsidR="00F265FE" w:rsidRPr="00751442" w:rsidRDefault="00174ED5" w:rsidP="00CF5818">
            <w:pPr>
              <w:jc w:val="both"/>
              <w:rPr>
                <w:b/>
              </w:rPr>
            </w:pPr>
            <w:r w:rsidRPr="00751442">
              <w:rPr>
                <w:b/>
              </w:rPr>
              <w:t>”Bolaget”</w:t>
            </w:r>
          </w:p>
        </w:tc>
        <w:tc>
          <w:tcPr>
            <w:tcW w:w="0" w:type="auto"/>
          </w:tcPr>
          <w:p w14:paraId="3F99D942" w14:textId="77777777" w:rsidR="00F265FE" w:rsidRPr="00FA52C3" w:rsidRDefault="00751442" w:rsidP="00CF5818">
            <w:pPr>
              <w:jc w:val="both"/>
              <w:rPr>
                <w:lang w:val="en-US"/>
              </w:rPr>
            </w:pPr>
            <w:r>
              <w:rPr>
                <w:rFonts w:eastAsia="Calibri" w:cs="Calibri"/>
                <w:lang w:val="en-US"/>
              </w:rPr>
              <w:t>Rejlers</w:t>
            </w:r>
            <w:r w:rsidR="00B83572" w:rsidRPr="00B83572">
              <w:rPr>
                <w:rFonts w:eastAsia="Calibri" w:cs="Calibri"/>
                <w:lang w:val="en-US"/>
              </w:rPr>
              <w:t xml:space="preserve"> AB (publ) </w:t>
            </w:r>
            <w:r w:rsidR="00174ED5" w:rsidRPr="00FA52C3">
              <w:rPr>
                <w:lang w:val="en-US"/>
              </w:rPr>
              <w:t xml:space="preserve">org.nr </w:t>
            </w:r>
            <w:r w:rsidRPr="00751442">
              <w:rPr>
                <w:iCs/>
                <w:lang w:val="en-US"/>
              </w:rPr>
              <w:t>556349-8426</w:t>
            </w:r>
            <w:r w:rsidR="00174ED5" w:rsidRPr="00FA52C3">
              <w:rPr>
                <w:lang w:val="en-US"/>
              </w:rPr>
              <w:t>;</w:t>
            </w:r>
          </w:p>
        </w:tc>
      </w:tr>
      <w:tr w:rsidR="00F265FE" w14:paraId="7E563C68" w14:textId="77777777">
        <w:trPr>
          <w:tblCellSpacing w:w="7" w:type="dxa"/>
        </w:trPr>
        <w:tc>
          <w:tcPr>
            <w:tcW w:w="0" w:type="auto"/>
          </w:tcPr>
          <w:p w14:paraId="3E3270F6" w14:textId="77777777" w:rsidR="00F265FE" w:rsidRPr="00751442" w:rsidRDefault="00174ED5" w:rsidP="00CF5818">
            <w:pPr>
              <w:jc w:val="both"/>
              <w:rPr>
                <w:b/>
              </w:rPr>
            </w:pPr>
            <w:r w:rsidRPr="00751442">
              <w:rPr>
                <w:b/>
              </w:rPr>
              <w:t>”</w:t>
            </w:r>
            <w:proofErr w:type="spellStart"/>
            <w:r w:rsidRPr="00751442">
              <w:rPr>
                <w:b/>
              </w:rPr>
              <w:t>Euroclear</w:t>
            </w:r>
            <w:proofErr w:type="spellEnd"/>
            <w:r w:rsidR="00E428C0">
              <w:rPr>
                <w:b/>
              </w:rPr>
              <w:t xml:space="preserve"> Sweden</w:t>
            </w:r>
            <w:r w:rsidRPr="00751442">
              <w:rPr>
                <w:b/>
              </w:rPr>
              <w:t>”</w:t>
            </w:r>
          </w:p>
        </w:tc>
        <w:tc>
          <w:tcPr>
            <w:tcW w:w="0" w:type="auto"/>
          </w:tcPr>
          <w:p w14:paraId="30245ED1" w14:textId="77777777" w:rsidR="00F265FE" w:rsidRDefault="00174ED5" w:rsidP="00CF5818">
            <w:pPr>
              <w:jc w:val="both"/>
            </w:pPr>
            <w:r>
              <w:t>Euroclear Sweden AB</w:t>
            </w:r>
            <w:r w:rsidR="00A372E2">
              <w:t xml:space="preserve"> eller annan värdepapperscentral enligt lagen </w:t>
            </w:r>
            <w:r w:rsidR="006220E2" w:rsidRPr="006220E2">
              <w:t>(1998:1479) om värdepapperscentraler och kontoföring av finansiella instrument</w:t>
            </w:r>
            <w:r>
              <w:t>;</w:t>
            </w:r>
          </w:p>
        </w:tc>
      </w:tr>
      <w:tr w:rsidR="00751442" w14:paraId="26578A83" w14:textId="77777777">
        <w:trPr>
          <w:tblCellSpacing w:w="7" w:type="dxa"/>
        </w:trPr>
        <w:tc>
          <w:tcPr>
            <w:tcW w:w="0" w:type="auto"/>
          </w:tcPr>
          <w:p w14:paraId="4D5862BB" w14:textId="77777777" w:rsidR="00751442" w:rsidRPr="00751442" w:rsidRDefault="00751442" w:rsidP="00CF5818">
            <w:pPr>
              <w:jc w:val="both"/>
              <w:rPr>
                <w:rFonts w:cstheme="minorHAnsi"/>
                <w:b/>
              </w:rPr>
            </w:pPr>
            <w:r w:rsidRPr="00751442">
              <w:rPr>
                <w:rFonts w:asciiTheme="minorHAnsi" w:hAnsiTheme="minorHAnsi" w:cstheme="minorHAnsi"/>
                <w:b/>
              </w:rPr>
              <w:t>“Konvertering”</w:t>
            </w:r>
          </w:p>
        </w:tc>
        <w:tc>
          <w:tcPr>
            <w:tcW w:w="0" w:type="auto"/>
          </w:tcPr>
          <w:p w14:paraId="52D09100" w14:textId="77777777" w:rsidR="00751442" w:rsidRPr="00334BD2" w:rsidRDefault="00751442" w:rsidP="00CF5818">
            <w:pPr>
              <w:jc w:val="both"/>
              <w:rPr>
                <w:rFonts w:cstheme="minorHAnsi"/>
              </w:rPr>
            </w:pPr>
            <w:r w:rsidRPr="00334BD2">
              <w:rPr>
                <w:rFonts w:asciiTheme="minorHAnsi" w:hAnsiTheme="minorHAnsi" w:cstheme="minorHAnsi"/>
              </w:rPr>
              <w:t xml:space="preserve">utbyte av konvertibel mot nya </w:t>
            </w:r>
            <w:r w:rsidR="00CB5132">
              <w:rPr>
                <w:rFonts w:asciiTheme="minorHAnsi" w:hAnsiTheme="minorHAnsi" w:cstheme="minorHAnsi"/>
              </w:rPr>
              <w:t>A</w:t>
            </w:r>
            <w:r w:rsidRPr="00334BD2">
              <w:rPr>
                <w:rFonts w:asciiTheme="minorHAnsi" w:hAnsiTheme="minorHAnsi" w:cstheme="minorHAnsi"/>
              </w:rPr>
              <w:t>ktier av serie B i Bolaget</w:t>
            </w:r>
            <w:r>
              <w:rPr>
                <w:rFonts w:asciiTheme="minorHAnsi" w:hAnsiTheme="minorHAnsi" w:cstheme="minorHAnsi"/>
              </w:rPr>
              <w:t>;</w:t>
            </w:r>
          </w:p>
        </w:tc>
      </w:tr>
      <w:tr w:rsidR="00751442" w14:paraId="500B2FBC" w14:textId="77777777">
        <w:trPr>
          <w:tblCellSpacing w:w="7" w:type="dxa"/>
        </w:trPr>
        <w:tc>
          <w:tcPr>
            <w:tcW w:w="0" w:type="auto"/>
          </w:tcPr>
          <w:p w14:paraId="07699172" w14:textId="77777777" w:rsidR="00751442" w:rsidRPr="00751442" w:rsidRDefault="0053192E" w:rsidP="00CF5818">
            <w:pPr>
              <w:jc w:val="both"/>
              <w:rPr>
                <w:rFonts w:cstheme="minorHAnsi"/>
                <w:b/>
              </w:rPr>
            </w:pPr>
            <w:r>
              <w:rPr>
                <w:rFonts w:asciiTheme="minorHAnsi" w:hAnsiTheme="minorHAnsi" w:cstheme="minorHAnsi"/>
                <w:b/>
              </w:rPr>
              <w:t>“K</w:t>
            </w:r>
            <w:r w:rsidR="00751442" w:rsidRPr="00751442">
              <w:rPr>
                <w:rFonts w:asciiTheme="minorHAnsi" w:hAnsiTheme="minorHAnsi" w:cstheme="minorHAnsi"/>
                <w:b/>
              </w:rPr>
              <w:t>onverteringskurs”</w:t>
            </w:r>
          </w:p>
        </w:tc>
        <w:tc>
          <w:tcPr>
            <w:tcW w:w="0" w:type="auto"/>
          </w:tcPr>
          <w:p w14:paraId="77FD6B52" w14:textId="77777777" w:rsidR="00751442" w:rsidRPr="00DE312A" w:rsidRDefault="00751442" w:rsidP="00CF5818">
            <w:pPr>
              <w:jc w:val="both"/>
              <w:rPr>
                <w:rFonts w:cstheme="minorHAnsi"/>
              </w:rPr>
            </w:pPr>
            <w:r w:rsidRPr="00DE312A">
              <w:rPr>
                <w:rFonts w:asciiTheme="minorHAnsi" w:hAnsiTheme="minorHAnsi" w:cstheme="minorHAnsi"/>
              </w:rPr>
              <w:t>den kurs till vilken konvertering kan ske</w:t>
            </w:r>
            <w:r>
              <w:rPr>
                <w:rFonts w:asciiTheme="minorHAnsi" w:hAnsiTheme="minorHAnsi" w:cstheme="minorHAnsi"/>
              </w:rPr>
              <w:t>;</w:t>
            </w:r>
          </w:p>
        </w:tc>
      </w:tr>
      <w:tr w:rsidR="00751442" w14:paraId="66E014B3" w14:textId="77777777">
        <w:trPr>
          <w:tblCellSpacing w:w="7" w:type="dxa"/>
        </w:trPr>
        <w:tc>
          <w:tcPr>
            <w:tcW w:w="0" w:type="auto"/>
          </w:tcPr>
          <w:p w14:paraId="58331E61" w14:textId="77777777" w:rsidR="00751442" w:rsidRPr="00751442" w:rsidRDefault="0053192E" w:rsidP="00CF5818">
            <w:pPr>
              <w:jc w:val="both"/>
              <w:rPr>
                <w:rFonts w:cstheme="minorHAnsi"/>
                <w:b/>
              </w:rPr>
            </w:pPr>
            <w:r>
              <w:rPr>
                <w:rFonts w:asciiTheme="minorHAnsi" w:hAnsiTheme="minorHAnsi" w:cstheme="minorHAnsi"/>
                <w:b/>
              </w:rPr>
              <w:t>“K</w:t>
            </w:r>
            <w:r w:rsidR="00751442" w:rsidRPr="00751442">
              <w:rPr>
                <w:rFonts w:asciiTheme="minorHAnsi" w:hAnsiTheme="minorHAnsi" w:cstheme="minorHAnsi"/>
                <w:b/>
              </w:rPr>
              <w:t>onvertibel”</w:t>
            </w:r>
          </w:p>
        </w:tc>
        <w:tc>
          <w:tcPr>
            <w:tcW w:w="0" w:type="auto"/>
          </w:tcPr>
          <w:p w14:paraId="3C215C56" w14:textId="77777777" w:rsidR="00751442" w:rsidRPr="00054A77" w:rsidRDefault="00751442" w:rsidP="00CF5818">
            <w:pPr>
              <w:jc w:val="both"/>
              <w:rPr>
                <w:rFonts w:cstheme="minorHAnsi"/>
              </w:rPr>
            </w:pPr>
            <w:r w:rsidRPr="00054A77">
              <w:rPr>
                <w:rFonts w:asciiTheme="minorHAnsi" w:hAnsiTheme="minorHAnsi" w:cstheme="minorHAnsi"/>
              </w:rPr>
              <w:t xml:space="preserve">sådan fordran med konverteringsrätt som avses i </w:t>
            </w:r>
            <w:r>
              <w:rPr>
                <w:rFonts w:asciiTheme="minorHAnsi" w:hAnsiTheme="minorHAnsi" w:cstheme="minorHAnsi"/>
              </w:rPr>
              <w:t>15 kap</w:t>
            </w:r>
            <w:r w:rsidRPr="00054A77">
              <w:rPr>
                <w:rFonts w:asciiTheme="minorHAnsi" w:hAnsiTheme="minorHAnsi" w:cstheme="minorHAnsi"/>
              </w:rPr>
              <w:t xml:space="preserve"> aktiebolagslagen (2005:551)</w:t>
            </w:r>
            <w:r>
              <w:rPr>
                <w:rFonts w:asciiTheme="minorHAnsi" w:hAnsiTheme="minorHAnsi" w:cstheme="minorHAnsi"/>
              </w:rPr>
              <w:t>;</w:t>
            </w:r>
          </w:p>
        </w:tc>
      </w:tr>
      <w:tr w:rsidR="00345227" w14:paraId="4FE039DB" w14:textId="77777777">
        <w:trPr>
          <w:tblCellSpacing w:w="7" w:type="dxa"/>
        </w:trPr>
        <w:tc>
          <w:tcPr>
            <w:tcW w:w="0" w:type="auto"/>
          </w:tcPr>
          <w:p w14:paraId="3D86FF7A" w14:textId="77777777" w:rsidR="00345227" w:rsidRDefault="00345227" w:rsidP="00CF5818">
            <w:pPr>
              <w:jc w:val="both"/>
              <w:rPr>
                <w:rFonts w:asciiTheme="minorHAnsi" w:hAnsiTheme="minorHAnsi" w:cstheme="minorHAnsi"/>
                <w:b/>
              </w:rPr>
            </w:pPr>
            <w:r>
              <w:rPr>
                <w:rFonts w:asciiTheme="minorHAnsi" w:hAnsiTheme="minorHAnsi" w:cstheme="minorHAnsi"/>
                <w:b/>
              </w:rPr>
              <w:t>”Konvertibelinnehavare”</w:t>
            </w:r>
          </w:p>
        </w:tc>
        <w:tc>
          <w:tcPr>
            <w:tcW w:w="0" w:type="auto"/>
          </w:tcPr>
          <w:p w14:paraId="7F03CD19" w14:textId="77777777" w:rsidR="00345227" w:rsidRPr="00054A77" w:rsidRDefault="00345227" w:rsidP="00CF5818">
            <w:pPr>
              <w:jc w:val="both"/>
              <w:rPr>
                <w:rFonts w:asciiTheme="minorHAnsi" w:hAnsiTheme="minorHAnsi" w:cstheme="minorHAnsi"/>
              </w:rPr>
            </w:pPr>
            <w:r>
              <w:t>innehavare av Konvertibel;</w:t>
            </w:r>
          </w:p>
        </w:tc>
      </w:tr>
      <w:tr w:rsidR="00751442" w14:paraId="26F4F149" w14:textId="77777777">
        <w:trPr>
          <w:tblCellSpacing w:w="7" w:type="dxa"/>
        </w:trPr>
        <w:tc>
          <w:tcPr>
            <w:tcW w:w="0" w:type="auto"/>
          </w:tcPr>
          <w:p w14:paraId="68187779" w14:textId="77777777" w:rsidR="00751442" w:rsidRPr="00751442" w:rsidRDefault="0053192E" w:rsidP="00CF5818">
            <w:pPr>
              <w:jc w:val="both"/>
              <w:rPr>
                <w:rFonts w:cstheme="minorHAnsi"/>
                <w:b/>
              </w:rPr>
            </w:pPr>
            <w:r>
              <w:rPr>
                <w:rFonts w:asciiTheme="minorHAnsi" w:hAnsiTheme="minorHAnsi" w:cstheme="minorHAnsi"/>
                <w:b/>
              </w:rPr>
              <w:t>“S</w:t>
            </w:r>
            <w:r w:rsidR="00751442" w:rsidRPr="00751442">
              <w:rPr>
                <w:rFonts w:asciiTheme="minorHAnsi" w:hAnsiTheme="minorHAnsi" w:cstheme="minorHAnsi"/>
                <w:b/>
              </w:rPr>
              <w:t>kuldförbindelse”</w:t>
            </w:r>
          </w:p>
        </w:tc>
        <w:tc>
          <w:tcPr>
            <w:tcW w:w="0" w:type="auto"/>
          </w:tcPr>
          <w:p w14:paraId="0DAC52E6" w14:textId="575EDBEF" w:rsidR="00751442" w:rsidRPr="0023374B" w:rsidRDefault="00751442" w:rsidP="00CF5818">
            <w:pPr>
              <w:jc w:val="both"/>
              <w:rPr>
                <w:rFonts w:cstheme="minorHAnsi"/>
              </w:rPr>
            </w:pPr>
            <w:r w:rsidRPr="0023374B">
              <w:rPr>
                <w:rFonts w:asciiTheme="minorHAnsi" w:hAnsiTheme="minorHAnsi" w:cstheme="minorHAnsi"/>
              </w:rPr>
              <w:t>betalningsåtagande av Bolaget enligt dessa villkor</w:t>
            </w:r>
            <w:r w:rsidR="00773EC3">
              <w:rPr>
                <w:rFonts w:asciiTheme="minorHAnsi" w:hAnsiTheme="minorHAnsi" w:cstheme="minorHAnsi"/>
              </w:rPr>
              <w:t>.</w:t>
            </w:r>
          </w:p>
        </w:tc>
      </w:tr>
    </w:tbl>
    <w:p w14:paraId="167C81C8" w14:textId="77777777" w:rsidR="00F265FE" w:rsidRDefault="00F265FE" w:rsidP="00CF5818">
      <w:pPr>
        <w:jc w:val="both"/>
      </w:pPr>
    </w:p>
    <w:p w14:paraId="418B9C17" w14:textId="77777777" w:rsidR="00F265FE" w:rsidRDefault="00174ED5" w:rsidP="00CF5818">
      <w:pPr>
        <w:pStyle w:val="Heading2"/>
        <w:jc w:val="both"/>
      </w:pPr>
      <w:r>
        <w:t xml:space="preserve">§ 2 </w:t>
      </w:r>
      <w:r w:rsidR="00751442">
        <w:t>Ränta, ränteperioder och ränteutbetalning</w:t>
      </w:r>
    </w:p>
    <w:p w14:paraId="23EFEE4E" w14:textId="48C73D43" w:rsidR="00751442" w:rsidRPr="00751442" w:rsidRDefault="00751442" w:rsidP="00CF5818">
      <w:pPr>
        <w:jc w:val="both"/>
      </w:pPr>
      <w:r w:rsidRPr="00751442">
        <w:t>Lånet löper m</w:t>
      </w:r>
      <w:r>
        <w:t>ed en ränta som fastställts bland annat</w:t>
      </w:r>
      <w:r w:rsidR="0053192E">
        <w:t xml:space="preserve"> mot bakgrund av K</w:t>
      </w:r>
      <w:r w:rsidRPr="00751442">
        <w:t>onverteringskursen o</w:t>
      </w:r>
      <w:r w:rsidR="0053192E">
        <w:t>ch det aktuella ränteläget vid K</w:t>
      </w:r>
      <w:r w:rsidRPr="00751442">
        <w:t xml:space="preserve">onvertiblernas utgivande. Konvertibelräntan ska uppgå till </w:t>
      </w:r>
      <w:r>
        <w:t>[</w:t>
      </w:r>
      <w:r w:rsidRPr="00CF5818">
        <w:rPr>
          <w:rFonts w:cs="Calibri"/>
        </w:rPr>
        <w:t>●</w:t>
      </w:r>
      <w:r>
        <w:t>]</w:t>
      </w:r>
      <w:r w:rsidR="00326E78">
        <w:rPr>
          <w:rStyle w:val="FootnoteReference"/>
        </w:rPr>
        <w:footnoteReference w:id="1"/>
      </w:r>
      <w:r>
        <w:t>.</w:t>
      </w:r>
      <w:r w:rsidR="00C20CCC">
        <w:t xml:space="preserve"> </w:t>
      </w:r>
    </w:p>
    <w:p w14:paraId="4695F8E8" w14:textId="3913A2D0" w:rsidR="0053192E" w:rsidRDefault="00751442" w:rsidP="00CF5818">
      <w:pPr>
        <w:jc w:val="both"/>
      </w:pPr>
      <w:bookmarkStart w:id="1" w:name="_Hlk3451721"/>
      <w:r w:rsidRPr="00751442">
        <w:t xml:space="preserve">Lånet löper med ränta från den </w:t>
      </w:r>
      <w:r w:rsidR="00112CD9">
        <w:t>3</w:t>
      </w:r>
      <w:r w:rsidR="00E85C83">
        <w:t>1</w:t>
      </w:r>
      <w:r w:rsidR="00326E78">
        <w:t xml:space="preserve"> </w:t>
      </w:r>
      <w:r w:rsidR="00E85C83">
        <w:t>december</w:t>
      </w:r>
      <w:r w:rsidR="00326E78">
        <w:t xml:space="preserve"> 2019</w:t>
      </w:r>
      <w:r>
        <w:t xml:space="preserve"> </w:t>
      </w:r>
      <w:r w:rsidRPr="00751442">
        <w:t xml:space="preserve">förfallande till betalning i efterskott </w:t>
      </w:r>
      <w:r w:rsidR="00326E78">
        <w:t>halvårsvis</w:t>
      </w:r>
      <w:r w:rsidRPr="00751442">
        <w:t xml:space="preserve">, första gången den </w:t>
      </w:r>
      <w:r w:rsidR="00112CD9">
        <w:t>30</w:t>
      </w:r>
      <w:r w:rsidR="00326E78">
        <w:t xml:space="preserve"> </w:t>
      </w:r>
      <w:r w:rsidR="00E85C83">
        <w:t>juni</w:t>
      </w:r>
      <w:r w:rsidR="00326E78">
        <w:t xml:space="preserve"> 20</w:t>
      </w:r>
      <w:r w:rsidR="00E85C83">
        <w:t>20</w:t>
      </w:r>
      <w:r w:rsidRPr="00751442">
        <w:t>. Varje ränte</w:t>
      </w:r>
      <w:r>
        <w:t xml:space="preserve">betalning omfattar ränta </w:t>
      </w:r>
      <w:r w:rsidR="00C20CCC">
        <w:t>f</w:t>
      </w:r>
      <w:r w:rsidR="00C20CCC" w:rsidRPr="00C20CCC">
        <w:t xml:space="preserve">ör </w:t>
      </w:r>
      <w:r w:rsidR="00326E78">
        <w:t>sex</w:t>
      </w:r>
      <w:r w:rsidRPr="00751442">
        <w:t xml:space="preserve"> </w:t>
      </w:r>
      <w:r w:rsidR="00C20CCC">
        <w:t xml:space="preserve">månader </w:t>
      </w:r>
      <w:r w:rsidRPr="00751442">
        <w:t xml:space="preserve">med undantag för den sista räntebetalningen som omfattar tiden från den </w:t>
      </w:r>
      <w:r w:rsidR="00E85C83">
        <w:t>1</w:t>
      </w:r>
      <w:r w:rsidR="00326E78">
        <w:t xml:space="preserve"> j</w:t>
      </w:r>
      <w:r w:rsidR="00E85C83">
        <w:t xml:space="preserve">anuari </w:t>
      </w:r>
      <w:r w:rsidR="00326E78">
        <w:t>202</w:t>
      </w:r>
      <w:r w:rsidR="00E85C83">
        <w:t>4</w:t>
      </w:r>
      <w:r w:rsidR="0053192E" w:rsidRPr="00751442">
        <w:t xml:space="preserve"> </w:t>
      </w:r>
      <w:r w:rsidRPr="00751442">
        <w:t xml:space="preserve">till och </w:t>
      </w:r>
      <w:r w:rsidRPr="00751442">
        <w:lastRenderedPageBreak/>
        <w:t>med den</w:t>
      </w:r>
      <w:r w:rsidR="00326E78">
        <w:t xml:space="preserve"> </w:t>
      </w:r>
      <w:r w:rsidR="00732109">
        <w:t>1</w:t>
      </w:r>
      <w:r w:rsidR="00326E78">
        <w:t xml:space="preserve"> </w:t>
      </w:r>
      <w:r w:rsidR="00E85C83">
        <w:t>mars</w:t>
      </w:r>
      <w:r w:rsidR="00326E78">
        <w:t xml:space="preserve"> 202</w:t>
      </w:r>
      <w:r w:rsidR="00E85C83">
        <w:t>4</w:t>
      </w:r>
      <w:r w:rsidRPr="00751442">
        <w:t xml:space="preserve">. </w:t>
      </w:r>
      <w:bookmarkEnd w:id="1"/>
      <w:r w:rsidRPr="00751442">
        <w:t>Som framgår av § 7 nedan bortfaller v</w:t>
      </w:r>
      <w:r w:rsidR="00345227">
        <w:t>id K</w:t>
      </w:r>
      <w:r w:rsidRPr="00751442">
        <w:t>onvertering rätten till ränta från närma</w:t>
      </w:r>
      <w:r w:rsidR="0053192E">
        <w:t>st föregående ränteförfallodag.</w:t>
      </w:r>
    </w:p>
    <w:p w14:paraId="1E1B1910" w14:textId="0FF5642A" w:rsidR="00732109" w:rsidRDefault="00732109" w:rsidP="00CF5818">
      <w:pPr>
        <w:jc w:val="both"/>
      </w:pPr>
      <w:r>
        <w:t>Räntan beräknas på 30/360 dagars basis.</w:t>
      </w:r>
    </w:p>
    <w:p w14:paraId="39A0C9D0" w14:textId="77777777" w:rsidR="00F265FE" w:rsidRDefault="00174ED5" w:rsidP="00CF5818">
      <w:pPr>
        <w:pStyle w:val="Heading2"/>
        <w:jc w:val="both"/>
      </w:pPr>
      <w:r>
        <w:t xml:space="preserve">§ 3 </w:t>
      </w:r>
      <w:r w:rsidR="0053192E">
        <w:t>Lånebelopp, förfallodag och betalningsutfästelse</w:t>
      </w:r>
    </w:p>
    <w:p w14:paraId="686B00D0" w14:textId="558DA46C" w:rsidR="0053192E" w:rsidRDefault="0053192E" w:rsidP="00CF5818">
      <w:pPr>
        <w:jc w:val="both"/>
      </w:pPr>
      <w:r w:rsidRPr="0053192E">
        <w:t xml:space="preserve">Lånebeloppet </w:t>
      </w:r>
      <w:r w:rsidRPr="00137C6E">
        <w:t xml:space="preserve">uppgår till högst </w:t>
      </w:r>
      <w:r w:rsidR="00E85C83">
        <w:t>2</w:t>
      </w:r>
      <w:r w:rsidR="008351F4">
        <w:t>4</w:t>
      </w:r>
      <w:r w:rsidRPr="00137C6E">
        <w:t> </w:t>
      </w:r>
      <w:r w:rsidR="008351F4">
        <w:t>0</w:t>
      </w:r>
      <w:r w:rsidRPr="00137C6E">
        <w:t xml:space="preserve">00 000 kronor. För det fall den Konverteringskurs som fastställs enligt § 7 andra stycket skulle bestämmas till ett belopp som skulle leda till en utspädning efter full </w:t>
      </w:r>
      <w:r w:rsidR="00D1075B" w:rsidRPr="00137C6E">
        <w:t>Konvertering</w:t>
      </w:r>
      <w:r w:rsidRPr="00137C6E">
        <w:t xml:space="preserve"> till denna Konverteringskurs med mer än </w:t>
      </w:r>
      <w:r w:rsidR="00CF5818">
        <w:t>3,5</w:t>
      </w:r>
      <w:r w:rsidRPr="00137C6E">
        <w:t xml:space="preserve"> p</w:t>
      </w:r>
      <w:r w:rsidR="00236D42" w:rsidRPr="00137C6E">
        <w:t xml:space="preserve">rocent av aktiekapitalet, ska </w:t>
      </w:r>
      <w:r w:rsidRPr="00137C6E">
        <w:t xml:space="preserve">dock det högsta lånebeloppet minskas genom minskad tilldelning så att den maximala utspädningen blir </w:t>
      </w:r>
      <w:r w:rsidR="00137C6E">
        <w:t>3,5</w:t>
      </w:r>
      <w:r w:rsidRPr="00137C6E">
        <w:t xml:space="preserve"> procent.</w:t>
      </w:r>
    </w:p>
    <w:p w14:paraId="6C0B0AA5" w14:textId="653890AF" w:rsidR="0053192E" w:rsidRDefault="0053192E" w:rsidP="00CF5818">
      <w:pPr>
        <w:jc w:val="both"/>
      </w:pPr>
      <w:r w:rsidRPr="0053192E">
        <w:t xml:space="preserve">Lånet förfaller till betalning den </w:t>
      </w:r>
      <w:r w:rsidR="00326E78">
        <w:t xml:space="preserve">1 </w:t>
      </w:r>
      <w:r w:rsidR="00E85C83">
        <w:t>mars</w:t>
      </w:r>
      <w:r w:rsidR="00326E78">
        <w:t xml:space="preserve"> 202</w:t>
      </w:r>
      <w:r w:rsidR="00E85C83">
        <w:t>4</w:t>
      </w:r>
      <w:r>
        <w:t xml:space="preserve"> i den mån K</w:t>
      </w:r>
      <w:r w:rsidRPr="0053192E">
        <w:t>onverte</w:t>
      </w:r>
      <w:r>
        <w:t>ring inte dessförinnan ägt rum.</w:t>
      </w:r>
    </w:p>
    <w:p w14:paraId="7EA44909" w14:textId="77777777" w:rsidR="0053192E" w:rsidRDefault="0053192E" w:rsidP="00CF5818">
      <w:pPr>
        <w:jc w:val="both"/>
      </w:pPr>
      <w:r w:rsidRPr="0053192E">
        <w:t>Bolaget ikläder sig betalningsskyldighet för lånet och utfäster sig att verkställa betalning i enlighet med dessa villkor.</w:t>
      </w:r>
    </w:p>
    <w:p w14:paraId="7F92CA16" w14:textId="77777777" w:rsidR="00F265FE" w:rsidRPr="0053192E" w:rsidRDefault="00174ED5" w:rsidP="00CF5818">
      <w:pPr>
        <w:pStyle w:val="Heading2"/>
        <w:jc w:val="both"/>
      </w:pPr>
      <w:r w:rsidRPr="0053192E">
        <w:t xml:space="preserve">§ 4 </w:t>
      </w:r>
      <w:r w:rsidR="0053192E" w:rsidRPr="0053192E">
        <w:t>Kontoförande institut, registrering m.m</w:t>
      </w:r>
      <w:r w:rsidR="0053192E">
        <w:t>.</w:t>
      </w:r>
    </w:p>
    <w:p w14:paraId="3D5FBCE2" w14:textId="4C9575FF" w:rsidR="0053192E" w:rsidRDefault="0053192E" w:rsidP="00CF5818">
      <w:pPr>
        <w:jc w:val="both"/>
      </w:pPr>
      <w:r w:rsidRPr="0053192E">
        <w:t xml:space="preserve">Lånet </w:t>
      </w:r>
      <w:r w:rsidR="00236D42">
        <w:t>ska</w:t>
      </w:r>
      <w:r w:rsidRPr="0053192E">
        <w:t xml:space="preserve"> registreras av Euroclear</w:t>
      </w:r>
      <w:r w:rsidR="00E428C0">
        <w:t xml:space="preserve"> Sweden</w:t>
      </w:r>
      <w:r w:rsidRPr="0053192E">
        <w:t xml:space="preserve"> i ett avstämningsregister enligt lagen (1998:1479) om </w:t>
      </w:r>
      <w:r w:rsidR="00236D42" w:rsidRPr="0053192E">
        <w:t>värdepapperscentraler</w:t>
      </w:r>
      <w:r w:rsidRPr="0053192E">
        <w:t xml:space="preserve"> och kontoföring av finansiella instrument, i följd varav inga värdepapper i fysisk form kommer att utges.</w:t>
      </w:r>
    </w:p>
    <w:p w14:paraId="1CDDEC91" w14:textId="0AC4951B" w:rsidR="0053192E" w:rsidRDefault="0053192E" w:rsidP="00CF5818">
      <w:pPr>
        <w:jc w:val="both"/>
      </w:pPr>
      <w:r w:rsidRPr="0053192E">
        <w:t xml:space="preserve">Lånet representeras av skuldförbindelser vars nominella belopp </w:t>
      </w:r>
      <w:r w:rsidR="00236D42">
        <w:t>ska</w:t>
      </w:r>
      <w:r w:rsidRPr="0053192E">
        <w:t xml:space="preserve"> uppgå till en </w:t>
      </w:r>
      <w:r>
        <w:t>krona eller multiplar därav.</w:t>
      </w:r>
    </w:p>
    <w:p w14:paraId="08C92E93" w14:textId="1C353D44" w:rsidR="0053192E" w:rsidRPr="0053192E" w:rsidRDefault="0053192E" w:rsidP="00CF5818">
      <w:pPr>
        <w:jc w:val="both"/>
      </w:pPr>
      <w:r w:rsidRPr="0053192E">
        <w:t xml:space="preserve">Skuldförbindelserna registreras för </w:t>
      </w:r>
      <w:r w:rsidR="00E428C0" w:rsidRPr="00E428C0">
        <w:t>Konvertibelinnehavare</w:t>
      </w:r>
      <w:r w:rsidR="005B1F48">
        <w:t>s</w:t>
      </w:r>
      <w:r w:rsidR="00E428C0" w:rsidRPr="00E428C0">
        <w:t xml:space="preserve"> </w:t>
      </w:r>
      <w:r w:rsidRPr="0053192E">
        <w:t xml:space="preserve">räkning på konto i Bolagets avstämningsregister. Registreringar avseende lånet till följd av åtgärder enligt §§ 7, 8, 9 och 15 nedan </w:t>
      </w:r>
      <w:r w:rsidR="00236D42">
        <w:t>ska</w:t>
      </w:r>
      <w:r w:rsidRPr="0053192E">
        <w:t xml:space="preserve"> ombesörjas av Banken</w:t>
      </w:r>
      <w:r w:rsidR="00795684">
        <w:t xml:space="preserve"> eller annat kontoförande institut</w:t>
      </w:r>
      <w:r w:rsidRPr="0053192E">
        <w:t>. Övriga registreringsåtgärder som avser kontot kan företas av Banken eller annat kontoförande institut.</w:t>
      </w:r>
    </w:p>
    <w:p w14:paraId="290C8436" w14:textId="4C47771E" w:rsidR="00F265FE" w:rsidRDefault="00174ED5" w:rsidP="00CF5818">
      <w:pPr>
        <w:pStyle w:val="Heading2"/>
        <w:jc w:val="both"/>
      </w:pPr>
      <w:r>
        <w:t xml:space="preserve">§ 5 </w:t>
      </w:r>
      <w:r w:rsidR="00795684">
        <w:t>Efterställda S</w:t>
      </w:r>
      <w:r w:rsidR="00345227">
        <w:t>kuldförbindelser</w:t>
      </w:r>
    </w:p>
    <w:p w14:paraId="6038D80B" w14:textId="0A5CDF34" w:rsidR="00345227" w:rsidRDefault="00345227" w:rsidP="00CF5818">
      <w:pPr>
        <w:jc w:val="both"/>
      </w:pPr>
      <w:r w:rsidRPr="00345227">
        <w:t xml:space="preserve">Skuldförbindelserna </w:t>
      </w:r>
      <w:r w:rsidR="00236D42">
        <w:t>ska</w:t>
      </w:r>
      <w:r w:rsidRPr="00345227">
        <w:t xml:space="preserve"> i händelse av Bolagets likvidation eller konkurs medföra rätt till betalning ur Bolagets tillgångar efter Bolagets icke efterställda förpliktelser och jämsides (pari </w:t>
      </w:r>
      <w:proofErr w:type="spellStart"/>
      <w:r w:rsidRPr="00345227">
        <w:t>passu</w:t>
      </w:r>
      <w:proofErr w:type="spellEnd"/>
      <w:r w:rsidRPr="00345227">
        <w:t>) med andra efterställda förpliktelser som inte uttryckligen är efterställda detta lån.</w:t>
      </w:r>
    </w:p>
    <w:p w14:paraId="43F70C4F" w14:textId="77777777" w:rsidR="00F265FE" w:rsidRDefault="00174ED5" w:rsidP="00CF5818">
      <w:pPr>
        <w:pStyle w:val="Heading2"/>
        <w:jc w:val="both"/>
      </w:pPr>
      <w:r>
        <w:t xml:space="preserve">§ 6 </w:t>
      </w:r>
      <w:r w:rsidR="00345227">
        <w:t>Betalning av ränta samt återbetalning av lånebelopp</w:t>
      </w:r>
    </w:p>
    <w:p w14:paraId="77A00ABD" w14:textId="77777777" w:rsidR="00345227" w:rsidRDefault="00345227" w:rsidP="00CF5818">
      <w:pPr>
        <w:jc w:val="both"/>
      </w:pPr>
      <w:r w:rsidRPr="00345227">
        <w:t>Räntan och lånebeloppet utbetalas av Euroclear</w:t>
      </w:r>
      <w:r w:rsidR="00E428C0">
        <w:t xml:space="preserve"> Sweden</w:t>
      </w:r>
      <w:r w:rsidRPr="00345227">
        <w:t xml:space="preserve"> </w:t>
      </w:r>
      <w:r>
        <w:t>till den som på femte Bank</w:t>
      </w:r>
      <w:r w:rsidRPr="00345227">
        <w:t>dagen före respektive förfallodag eller på den bankdag närmare förfallodagen som generellt kan komma att tillämpas på den svenska vä</w:t>
      </w:r>
      <w:r>
        <w:t>rdepappersmarknaden (</w:t>
      </w:r>
      <w:r w:rsidRPr="00345227">
        <w:t>avstämningsdag för betalning) är antecknad på konto i Bo</w:t>
      </w:r>
      <w:r>
        <w:t xml:space="preserve">lagets avstämningsregister som </w:t>
      </w:r>
      <w:r w:rsidR="00E428C0">
        <w:t xml:space="preserve">Konvertibelinnehavare </w:t>
      </w:r>
      <w:r w:rsidRPr="00345227">
        <w:t>eller såsom i annat fall berättigad att uppbära ränta respektive lånebelopp.</w:t>
      </w:r>
    </w:p>
    <w:p w14:paraId="51C8DEE8" w14:textId="6F593CA9" w:rsidR="00E428C0" w:rsidRDefault="00345227" w:rsidP="00CF5818">
      <w:pPr>
        <w:jc w:val="both"/>
      </w:pPr>
      <w:r>
        <w:t xml:space="preserve">Har </w:t>
      </w:r>
      <w:r w:rsidR="00E428C0" w:rsidRPr="00E428C0">
        <w:t>Konvertibelinnehavare</w:t>
      </w:r>
      <w:r w:rsidRPr="00E428C0">
        <w:t>,</w:t>
      </w:r>
      <w:r w:rsidRPr="00345227">
        <w:t xml:space="preserve"> eller den som är antecknad på konto i Bolagets avstämningsregister såsom i annat fall berättigad att uppbära ränta resp</w:t>
      </w:r>
      <w:r>
        <w:t>ektive lånebelopp, genom konto</w:t>
      </w:r>
      <w:r w:rsidRPr="00345227">
        <w:t xml:space="preserve">förande institut låtit registrera att räntan respektive lånebeloppet </w:t>
      </w:r>
      <w:r w:rsidR="00236D42">
        <w:t>ska</w:t>
      </w:r>
      <w:r w:rsidRPr="00345227">
        <w:t xml:space="preserve"> insättas på visst bankkonto, </w:t>
      </w:r>
      <w:r>
        <w:t xml:space="preserve">sker insättning genom </w:t>
      </w:r>
      <w:proofErr w:type="spellStart"/>
      <w:r w:rsidR="00E428C0">
        <w:t>Euroclear</w:t>
      </w:r>
      <w:proofErr w:type="spellEnd"/>
      <w:r w:rsidR="00E428C0">
        <w:t xml:space="preserve"> </w:t>
      </w:r>
      <w:proofErr w:type="spellStart"/>
      <w:r w:rsidR="00E428C0">
        <w:t>Swedens</w:t>
      </w:r>
      <w:proofErr w:type="spellEnd"/>
      <w:r w:rsidR="00E428C0">
        <w:t xml:space="preserve"> </w:t>
      </w:r>
      <w:r w:rsidRPr="00345227">
        <w:t xml:space="preserve">försorg på förfallodagen. I </w:t>
      </w:r>
      <w:r>
        <w:t xml:space="preserve">annat fall översänder Euroclear </w:t>
      </w:r>
      <w:r w:rsidR="00E428C0">
        <w:t xml:space="preserve">Sweden </w:t>
      </w:r>
      <w:r w:rsidRPr="00345227">
        <w:t xml:space="preserve">räntan respektive lånebeloppet sistnämnda dag till vederbörande under dennes hos Euroclear Sweden på avstämningsdagen registrerade adress. Infaller förfallodag på dag som inte </w:t>
      </w:r>
      <w:r w:rsidRPr="00345227">
        <w:lastRenderedPageBreak/>
        <w:t>är bankdag insättes eller översändes räntan respektive lånebeloppet först på där</w:t>
      </w:r>
      <w:r w:rsidR="00E428C0">
        <w:t>efter närmast följande bankdag.</w:t>
      </w:r>
    </w:p>
    <w:p w14:paraId="221C5A00" w14:textId="77777777" w:rsidR="00E428C0" w:rsidRDefault="00345227" w:rsidP="00CF5818">
      <w:pPr>
        <w:jc w:val="both"/>
      </w:pPr>
      <w:r w:rsidRPr="00345227">
        <w:t>Skulle Euroclear Sweden på grund av dröjsmål från Bolagets sida eller på grund av annat hinder inte kunna utbetala ränta eller lånebelopp enligt vad nyss sagts, utbetalas räntan respektive lånebeloppet av Euroclear Sweden så snart h</w:t>
      </w:r>
      <w:r w:rsidR="00E428C0">
        <w:t xml:space="preserve">indret upphört till den, som på </w:t>
      </w:r>
      <w:r w:rsidRPr="00345227">
        <w:t xml:space="preserve">avstämningsdagen för betalning var registrerad såsom </w:t>
      </w:r>
      <w:r w:rsidR="00E428C0">
        <w:t xml:space="preserve">Konvertibelinnehavare </w:t>
      </w:r>
      <w:r w:rsidRPr="00345227">
        <w:t>eller antecknad som berättigad att uppbära räntan respektive lånebel</w:t>
      </w:r>
      <w:r w:rsidR="00E428C0">
        <w:t>opp.</w:t>
      </w:r>
    </w:p>
    <w:p w14:paraId="34B5852C" w14:textId="3F439679" w:rsidR="00345227" w:rsidRPr="00345227" w:rsidRDefault="00345227" w:rsidP="00CF5818">
      <w:pPr>
        <w:jc w:val="both"/>
      </w:pPr>
      <w:r w:rsidRPr="00345227">
        <w:t xml:space="preserve">Ränta beräknas endast till och med respektive ränteförfallodag, även om denna skulle komma </w:t>
      </w:r>
      <w:r w:rsidR="00E428C0">
        <w:t>att infalla på dag som inte är B</w:t>
      </w:r>
      <w:r w:rsidRPr="00345227">
        <w:t xml:space="preserve">ankdag och även om erläggande av förfallet belopp fördröjs av sådant hinder som avses i § 17 nedan. För den händelse Bolaget skulle underlåta att i rätt tid tillhandahålla Euroclear Sweden medel för erläggande av förfallet räntebelopp eller lånebelopp på förfallodagen, och sådant hinder som avses i § 17 nedan inte föreligger, </w:t>
      </w:r>
      <w:r w:rsidR="00236D42">
        <w:t>ska</w:t>
      </w:r>
      <w:r w:rsidRPr="00345227">
        <w:t xml:space="preserve"> emellertid ränta på förfallet räntebelopp respektive lånebelopp utgå</w:t>
      </w:r>
      <w:r w:rsidR="00E428C0">
        <w:t xml:space="preserve"> efter den räntesats som anges i § 2 ovan</w:t>
      </w:r>
      <w:r w:rsidRPr="00345227">
        <w:t xml:space="preserve"> från förfallodagen till och med den bankd</w:t>
      </w:r>
      <w:r w:rsidR="00CB5132">
        <w:t xml:space="preserve">ag under vilken medel senast </w:t>
      </w:r>
      <w:proofErr w:type="spellStart"/>
      <w:r w:rsidR="00CB5132">
        <w:t>kl</w:t>
      </w:r>
      <w:proofErr w:type="spellEnd"/>
      <w:r w:rsidR="00CB5132">
        <w:t> </w:t>
      </w:r>
      <w:r w:rsidRPr="00345227">
        <w:t xml:space="preserve">10.00 tillhandahållits </w:t>
      </w:r>
      <w:proofErr w:type="spellStart"/>
      <w:r w:rsidRPr="00345227">
        <w:t>Euroclear</w:t>
      </w:r>
      <w:proofErr w:type="spellEnd"/>
      <w:r w:rsidRPr="00345227">
        <w:t xml:space="preserve"> Sweden.</w:t>
      </w:r>
    </w:p>
    <w:p w14:paraId="32C2B44A" w14:textId="77777777" w:rsidR="00F265FE" w:rsidRDefault="00174ED5" w:rsidP="00CF5818">
      <w:pPr>
        <w:pStyle w:val="Heading2"/>
        <w:jc w:val="both"/>
      </w:pPr>
      <w:r>
        <w:t xml:space="preserve">§ 7 </w:t>
      </w:r>
      <w:r w:rsidR="00E428C0">
        <w:t>Konvertering</w:t>
      </w:r>
    </w:p>
    <w:p w14:paraId="728B4369" w14:textId="6A7540E9" w:rsidR="00E428C0" w:rsidRDefault="00D1075B" w:rsidP="00CF5818">
      <w:pPr>
        <w:jc w:val="both"/>
      </w:pPr>
      <w:r>
        <w:t xml:space="preserve">Konvertibelinnehavare </w:t>
      </w:r>
      <w:r w:rsidR="00236D42">
        <w:t>ska</w:t>
      </w:r>
      <w:r w:rsidR="00E428C0" w:rsidRPr="00E428C0">
        <w:t xml:space="preserve"> äga rätt att under tiden från och med den </w:t>
      </w:r>
      <w:r w:rsidR="005A5BC5">
        <w:t>19</w:t>
      </w:r>
      <w:r w:rsidR="00326E78">
        <w:t xml:space="preserve"> </w:t>
      </w:r>
      <w:r w:rsidR="005A5BC5">
        <w:t>december</w:t>
      </w:r>
      <w:r w:rsidR="00326E78">
        <w:t xml:space="preserve"> 202</w:t>
      </w:r>
      <w:r w:rsidR="005A5BC5">
        <w:t>3</w:t>
      </w:r>
      <w:r w:rsidR="00326E78">
        <w:t xml:space="preserve"> </w:t>
      </w:r>
      <w:r w:rsidR="00E428C0" w:rsidRPr="00E428C0">
        <w:t>till och med den</w:t>
      </w:r>
      <w:r w:rsidR="005A5BC5">
        <w:t xml:space="preserve"> 14</w:t>
      </w:r>
      <w:r w:rsidR="00326E78">
        <w:t xml:space="preserve"> </w:t>
      </w:r>
      <w:r w:rsidR="005A5BC5">
        <w:t>februari</w:t>
      </w:r>
      <w:r w:rsidR="00326E78">
        <w:t xml:space="preserve"> 202</w:t>
      </w:r>
      <w:r w:rsidR="005A5BC5">
        <w:t>4</w:t>
      </w:r>
      <w:r w:rsidR="00E428C0">
        <w:t xml:space="preserve"> </w:t>
      </w:r>
      <w:r w:rsidR="00E428C0" w:rsidRPr="00E428C0">
        <w:t>eller från och med respektive till och med den ti</w:t>
      </w:r>
      <w:r w:rsidR="00D758D6">
        <w:t xml:space="preserve">digare dag som följer av </w:t>
      </w:r>
      <w:r w:rsidR="00D758D6" w:rsidRPr="00D1075B">
        <w:t>§ 9</w:t>
      </w:r>
      <w:r w:rsidR="00E428C0" w:rsidRPr="00D1075B">
        <w:t xml:space="preserve"> </w:t>
      </w:r>
      <w:r w:rsidR="005717F7">
        <w:t>K, L, M eller N</w:t>
      </w:r>
      <w:r w:rsidR="00E428C0" w:rsidRPr="00D1075B">
        <w:t xml:space="preserve"> nedan</w:t>
      </w:r>
      <w:r w:rsidR="00E428C0" w:rsidRPr="00E428C0">
        <w:t xml:space="preserve">, påkalla </w:t>
      </w:r>
      <w:r>
        <w:t>Konvertering</w:t>
      </w:r>
      <w:r w:rsidR="00CB5132">
        <w:t xml:space="preserve"> av sin fordran till nya A</w:t>
      </w:r>
      <w:r w:rsidR="00E428C0" w:rsidRPr="00E428C0">
        <w:t>ktier av serie B i Bolaget.</w:t>
      </w:r>
    </w:p>
    <w:p w14:paraId="63A60CC0" w14:textId="13E3F5F6" w:rsidR="00E428C0" w:rsidRPr="00E428C0" w:rsidRDefault="00E428C0" w:rsidP="00CF5818">
      <w:pPr>
        <w:jc w:val="both"/>
      </w:pPr>
      <w:r w:rsidRPr="00E428C0">
        <w:t xml:space="preserve">Konverteringskursen </w:t>
      </w:r>
      <w:r w:rsidR="00236D42">
        <w:t>ska</w:t>
      </w:r>
      <w:r w:rsidRPr="00E428C0">
        <w:t xml:space="preserve"> motsvara ett belopp uppgåe</w:t>
      </w:r>
      <w:r w:rsidRPr="00326E78">
        <w:t xml:space="preserve">nde till </w:t>
      </w:r>
      <w:r w:rsidR="00D758D6" w:rsidRPr="00326E78">
        <w:t>120</w:t>
      </w:r>
      <w:r w:rsidRPr="00326E78">
        <w:t xml:space="preserve"> </w:t>
      </w:r>
      <w:r w:rsidR="00D758D6" w:rsidRPr="00326E78">
        <w:t>procent</w:t>
      </w:r>
      <w:r w:rsidR="00D758D6">
        <w:t xml:space="preserve"> </w:t>
      </w:r>
      <w:r w:rsidR="00CB5132">
        <w:t>av den för A</w:t>
      </w:r>
      <w:r w:rsidR="00D758D6">
        <w:t xml:space="preserve">ktier av serie B i Bolaget på Nasdaq Stockholm noterade genomsnittliga senaste betalkursen under perioden från och med den </w:t>
      </w:r>
      <w:r w:rsidR="005A5BC5">
        <w:t>19</w:t>
      </w:r>
      <w:r w:rsidR="00326E78">
        <w:t xml:space="preserve"> </w:t>
      </w:r>
      <w:r w:rsidR="005A5BC5">
        <w:t>november</w:t>
      </w:r>
      <w:r w:rsidR="00326E78">
        <w:t xml:space="preserve"> 2019</w:t>
      </w:r>
      <w:r w:rsidR="00D758D6">
        <w:t xml:space="preserve"> till och med den </w:t>
      </w:r>
      <w:r w:rsidR="005A5BC5">
        <w:t>2</w:t>
      </w:r>
      <w:r w:rsidR="00326E78">
        <w:t xml:space="preserve"> </w:t>
      </w:r>
      <w:r w:rsidR="005A5BC5">
        <w:t>december</w:t>
      </w:r>
      <w:r w:rsidR="00326E78">
        <w:t xml:space="preserve"> 2019</w:t>
      </w:r>
      <w:r w:rsidR="00D758D6">
        <w:t xml:space="preserve">, </w:t>
      </w:r>
      <w:r w:rsidR="00326E78" w:rsidRPr="00326E78">
        <w:t>dock inte lägre än aktiens kvotvärde om 2 kronor. Dag utan notering av betalkurs ska inte ingå i beräkningen.</w:t>
      </w:r>
      <w:r w:rsidR="00D758D6">
        <w:t xml:space="preserve"> </w:t>
      </w:r>
      <w:r w:rsidR="00D359F8">
        <w:t>Den sålunda framräknade K</w:t>
      </w:r>
      <w:r w:rsidR="00D758D6">
        <w:t>onverteringskursen ska avrundas till närmaste helt tiotal öre, varvid fem öre ska avrundas uppåt. Konverteringskursen ska fastställas av styrelsen snarast efter utgången av angiven mätperiod.</w:t>
      </w:r>
    </w:p>
    <w:p w14:paraId="74441A75" w14:textId="75E1E5AE" w:rsidR="00E428C0" w:rsidRPr="00E428C0" w:rsidRDefault="00E428C0" w:rsidP="00CF5818">
      <w:pPr>
        <w:jc w:val="both"/>
      </w:pPr>
      <w:r w:rsidRPr="00E428C0">
        <w:t xml:space="preserve">Detta innebär att en </w:t>
      </w:r>
      <w:r w:rsidR="00CB5132">
        <w:t>ny A</w:t>
      </w:r>
      <w:r w:rsidR="00D359F8">
        <w:t>ktie</w:t>
      </w:r>
      <w:r w:rsidR="00CB5132">
        <w:t xml:space="preserve"> av serie B i Bolaget</w:t>
      </w:r>
      <w:r w:rsidR="00D359F8">
        <w:t xml:space="preserve"> erhålls för varje mot K</w:t>
      </w:r>
      <w:r w:rsidRPr="00E428C0">
        <w:t>onverteringskursen svarande fullt belopp av det sam</w:t>
      </w:r>
      <w:r w:rsidR="00D1075B">
        <w:t>manlagda nominella beloppet av K</w:t>
      </w:r>
      <w:r w:rsidRPr="00E428C0">
        <w:t xml:space="preserve">onvertibler, registrerade på visst konto för skuldförbindelser, som en och samma </w:t>
      </w:r>
      <w:r w:rsidR="00D359F8" w:rsidRPr="00E428C0">
        <w:t xml:space="preserve">Konvertibelinnehavare </w:t>
      </w:r>
      <w:r w:rsidRPr="00E428C0">
        <w:t>samtidigt önskar konvertera. Om detta be</w:t>
      </w:r>
      <w:r w:rsidR="00D359F8">
        <w:t>lopp inte är jämnt delbart med K</w:t>
      </w:r>
      <w:r w:rsidRPr="00E428C0">
        <w:t>onverteringskursen, utbetalas överskjutand</w:t>
      </w:r>
      <w:r w:rsidR="00D359F8">
        <w:t>e belopp kontant. Omräkning av K</w:t>
      </w:r>
      <w:r w:rsidRPr="00E428C0">
        <w:t>onverteringskursen kan äga rum i de</w:t>
      </w:r>
      <w:r w:rsidR="00CB5132">
        <w:t xml:space="preserve"> fall som framgår av § 9 nedan.</w:t>
      </w:r>
    </w:p>
    <w:p w14:paraId="73B7EC3E" w14:textId="3141273F" w:rsidR="00D359F8" w:rsidRDefault="00E428C0" w:rsidP="00CF5818">
      <w:pPr>
        <w:jc w:val="both"/>
      </w:pPr>
      <w:r w:rsidRPr="005B5140">
        <w:t xml:space="preserve">Vid påkallande av </w:t>
      </w:r>
      <w:r w:rsidR="00D1075B" w:rsidRPr="005B5140">
        <w:t>Konvertering</w:t>
      </w:r>
      <w:r w:rsidRPr="005B5140">
        <w:t xml:space="preserve"> </w:t>
      </w:r>
      <w:r w:rsidR="00236D42" w:rsidRPr="005B5140">
        <w:t>ska</w:t>
      </w:r>
      <w:r w:rsidRPr="005B5140">
        <w:t xml:space="preserve">, för registreringsåtgärder, ifylld anmälningssedel enligt fastställt formulär inges till </w:t>
      </w:r>
      <w:r w:rsidR="00773EC3">
        <w:t xml:space="preserve">Bolaget </w:t>
      </w:r>
      <w:r w:rsidRPr="005B5140">
        <w:t xml:space="preserve">eller </w:t>
      </w:r>
      <w:r w:rsidR="00773EC3">
        <w:t>till den av Bolaget utsedda Banken</w:t>
      </w:r>
      <w:r w:rsidRPr="005B5140">
        <w:t>.</w:t>
      </w:r>
      <w:r w:rsidR="007613B6">
        <w:t xml:space="preserve"> </w:t>
      </w:r>
      <w:r w:rsidRPr="00E428C0">
        <w:t xml:space="preserve">Anmälan om </w:t>
      </w:r>
      <w:r w:rsidR="00D1075B">
        <w:t>Konvertering</w:t>
      </w:r>
      <w:r w:rsidRPr="00E428C0">
        <w:t xml:space="preserve"> är bi</w:t>
      </w:r>
      <w:r w:rsidR="00D359F8">
        <w:t>ndande och kan inte återkallas.</w:t>
      </w:r>
    </w:p>
    <w:p w14:paraId="2B6C7F4C" w14:textId="3C2F2EFE" w:rsidR="005B5140" w:rsidRDefault="00E428C0" w:rsidP="00CF5818">
      <w:pPr>
        <w:jc w:val="both"/>
      </w:pPr>
      <w:r w:rsidRPr="00E428C0">
        <w:t>Konverteri</w:t>
      </w:r>
      <w:r w:rsidR="00CB5132">
        <w:t>ng verkställs genom att de nya A</w:t>
      </w:r>
      <w:r w:rsidRPr="00E428C0">
        <w:t xml:space="preserve">ktierna upptas i Bolagets aktiebok såsom interimsaktier. Eventuellt överskjutande kontantbelopp enligt ovan utbetalas därefter. </w:t>
      </w:r>
      <w:r w:rsidR="007613B6">
        <w:t>Anmälningssedlarna kommer under konverteringsperioden att samlas in för gemensam reg</w:t>
      </w:r>
      <w:r w:rsidR="006D54FA">
        <w:t>istrering hos Bolagsverket. D</w:t>
      </w:r>
      <w:r w:rsidR="007613B6">
        <w:t xml:space="preserve">et kommer inte ske löpande registreringar hos Bolagsverket för de anmälningssedlar som inkommer under konverteringsperioden. När konverteringsperioden är till ända kommer en registrering hos Bolagsverket att ske för samtliga Konvertibelinnehavare som har påkallat Konvertering. </w:t>
      </w:r>
      <w:r w:rsidR="006D54FA" w:rsidRPr="00E428C0">
        <w:t>Sedan registrering hos Bolagsverket ä</w:t>
      </w:r>
      <w:r w:rsidR="006D54FA">
        <w:t xml:space="preserve">gt rum, blir registreringen </w:t>
      </w:r>
      <w:r w:rsidR="006D54FA">
        <w:lastRenderedPageBreak/>
        <w:t>på A</w:t>
      </w:r>
      <w:r w:rsidR="006D54FA" w:rsidRPr="00E428C0">
        <w:t xml:space="preserve">vstämningskonton slutlig. </w:t>
      </w:r>
      <w:r w:rsidRPr="00E428C0">
        <w:t>Som framgår av § 8 och § 9 nedan senareläggs i vissa fall tidpunkten för sådan slutlig registrering.</w:t>
      </w:r>
    </w:p>
    <w:p w14:paraId="6057EEE6" w14:textId="49610E40" w:rsidR="009E51D6" w:rsidRDefault="009E51D6" w:rsidP="00CF5818">
      <w:pPr>
        <w:jc w:val="both"/>
        <w:rPr>
          <w:b/>
        </w:rPr>
      </w:pPr>
      <w:r w:rsidRPr="009E51D6">
        <w:rPr>
          <w:b/>
        </w:rPr>
        <w:t>§ 8 Rän</w:t>
      </w:r>
      <w:r>
        <w:rPr>
          <w:b/>
        </w:rPr>
        <w:t>ta och utdelning i samband med K</w:t>
      </w:r>
      <w:r w:rsidRPr="009E51D6">
        <w:rPr>
          <w:b/>
        </w:rPr>
        <w:t>onvertering</w:t>
      </w:r>
    </w:p>
    <w:p w14:paraId="6B3FCBA7" w14:textId="00C63BA8" w:rsidR="009E51D6" w:rsidRDefault="009E51D6" w:rsidP="00CF5818">
      <w:pPr>
        <w:jc w:val="both"/>
      </w:pPr>
      <w:r>
        <w:t>Vid K</w:t>
      </w:r>
      <w:r w:rsidRPr="009E51D6">
        <w:t>onvertering bortfaller rätten till ränta för tiden från närma</w:t>
      </w:r>
      <w:r>
        <w:t>st föregående ränteförfallodag.</w:t>
      </w:r>
    </w:p>
    <w:p w14:paraId="7667E2DE" w14:textId="6CBD52D7" w:rsidR="009E51D6" w:rsidRDefault="009E51D6" w:rsidP="00CF5818">
      <w:pPr>
        <w:jc w:val="both"/>
      </w:pPr>
      <w:r w:rsidRPr="009E51D6">
        <w:t>Ak</w:t>
      </w:r>
      <w:r>
        <w:t>tie som tillkommit på grund av K</w:t>
      </w:r>
      <w:r w:rsidRPr="009E51D6">
        <w:t>onvertering medför - med i nästa stycke angivet undantag - rätt till vinstutdelning första gången på avstämningsdag för utdelning som infaller närmast efter den d</w:t>
      </w:r>
      <w:r>
        <w:t>ag då Konvertering verkställts.</w:t>
      </w:r>
    </w:p>
    <w:p w14:paraId="760856F8" w14:textId="13356F78" w:rsidR="009E51D6" w:rsidRPr="009E51D6" w:rsidRDefault="009E51D6" w:rsidP="00CF5818">
      <w:pPr>
        <w:jc w:val="both"/>
      </w:pPr>
      <w:r w:rsidRPr="009E51D6">
        <w:t>Aktie som tillkommit på gru</w:t>
      </w:r>
      <w:r>
        <w:t>nd av K</w:t>
      </w:r>
      <w:r w:rsidRPr="009E51D6">
        <w:t>onvertering verkställd från och med dagen efter avstämningsdagen för räntebetalning visst år medför dock inte rätt till vinstutdelning på avstämningsdag för utdelning, vilken beslutats av bolagsstämma samma år.</w:t>
      </w:r>
    </w:p>
    <w:p w14:paraId="7ABECF36" w14:textId="7E27489B" w:rsidR="009E51D6" w:rsidRPr="009E51D6" w:rsidRDefault="009E51D6" w:rsidP="00CF5818">
      <w:pPr>
        <w:jc w:val="both"/>
      </w:pPr>
      <w:r>
        <w:t>Slutlig registrering på A</w:t>
      </w:r>
      <w:r w:rsidRPr="009E51D6">
        <w:t>vstämningskonto sker först efter nämnda avstämningsdag för utdelning. För det fall att utdelning, som beslutas av årsstämma hänför sig till ett och samma räkenskapsår, utbetalas vid fler än ett tillfälle,</w:t>
      </w:r>
      <w:r>
        <w:t xml:space="preserve"> </w:t>
      </w:r>
      <w:r w:rsidR="00236D42">
        <w:t>ska</w:t>
      </w:r>
      <w:r>
        <w:t xml:space="preserve"> slutlig registrering på A</w:t>
      </w:r>
      <w:r w:rsidRPr="009E51D6">
        <w:t>vstämningskonto dock ske först efter den sista avstämningsdagen för sådan utdelning. För det fall det inte beslutas om utdelning på årsstämma sker slutlig registrering efter årsstämman.</w:t>
      </w:r>
    </w:p>
    <w:p w14:paraId="785AF0E7" w14:textId="074B9A89" w:rsidR="00F265FE" w:rsidRDefault="009E51D6" w:rsidP="00CF5818">
      <w:pPr>
        <w:pStyle w:val="Heading2"/>
        <w:jc w:val="both"/>
      </w:pPr>
      <w:r>
        <w:t>§ 9</w:t>
      </w:r>
      <w:r w:rsidR="00174ED5">
        <w:t xml:space="preserve"> Omräkning av </w:t>
      </w:r>
      <w:r w:rsidR="00D359F8">
        <w:t>Konverteringskurs m.m.</w:t>
      </w:r>
    </w:p>
    <w:p w14:paraId="53D8C5BA" w14:textId="779620DC" w:rsidR="00D359F8" w:rsidRDefault="00D359F8" w:rsidP="00CF5818">
      <w:pPr>
        <w:pStyle w:val="Heading3"/>
        <w:jc w:val="both"/>
        <w:rPr>
          <w:rFonts w:eastAsiaTheme="minorHAnsi" w:cstheme="minorBidi"/>
          <w:bCs w:val="0"/>
          <w:i w:val="0"/>
        </w:rPr>
      </w:pPr>
      <w:r w:rsidRPr="00D359F8">
        <w:rPr>
          <w:rFonts w:eastAsiaTheme="minorHAnsi" w:cstheme="minorBidi"/>
          <w:bCs w:val="0"/>
          <w:i w:val="0"/>
        </w:rPr>
        <w:t xml:space="preserve">Beträffande den rätt, som </w:t>
      </w:r>
      <w:r w:rsidR="00236D42">
        <w:rPr>
          <w:rFonts w:eastAsiaTheme="minorHAnsi" w:cstheme="minorBidi"/>
          <w:bCs w:val="0"/>
          <w:i w:val="0"/>
        </w:rPr>
        <w:t>ska</w:t>
      </w:r>
      <w:r w:rsidRPr="00D359F8">
        <w:rPr>
          <w:rFonts w:eastAsiaTheme="minorHAnsi" w:cstheme="minorBidi"/>
          <w:bCs w:val="0"/>
          <w:i w:val="0"/>
        </w:rPr>
        <w:t xml:space="preserve"> tillkomma </w:t>
      </w:r>
      <w:r w:rsidR="00D1075B">
        <w:rPr>
          <w:rFonts w:eastAsiaTheme="minorHAnsi" w:cstheme="minorBidi"/>
          <w:bCs w:val="0"/>
          <w:i w:val="0"/>
        </w:rPr>
        <w:t>Konverteringsinnehavare</w:t>
      </w:r>
      <w:r w:rsidRPr="00D359F8">
        <w:rPr>
          <w:rFonts w:eastAsiaTheme="minorHAnsi" w:cstheme="minorBidi"/>
          <w:bCs w:val="0"/>
          <w:i w:val="0"/>
        </w:rPr>
        <w:t xml:space="preserve"> i vissa situationer, </w:t>
      </w:r>
      <w:r w:rsidR="00236D42">
        <w:rPr>
          <w:rFonts w:eastAsiaTheme="minorHAnsi" w:cstheme="minorBidi"/>
          <w:bCs w:val="0"/>
          <w:i w:val="0"/>
        </w:rPr>
        <w:t>ska</w:t>
      </w:r>
      <w:r w:rsidRPr="00D359F8">
        <w:rPr>
          <w:rFonts w:eastAsiaTheme="minorHAnsi" w:cstheme="minorBidi"/>
          <w:bCs w:val="0"/>
          <w:i w:val="0"/>
        </w:rPr>
        <w:t xml:space="preserve"> följande gälla:</w:t>
      </w:r>
    </w:p>
    <w:p w14:paraId="3E265B7E" w14:textId="77777777" w:rsidR="00F265FE" w:rsidRDefault="00174ED5" w:rsidP="00CF5818">
      <w:pPr>
        <w:pStyle w:val="Heading3"/>
        <w:jc w:val="both"/>
      </w:pPr>
      <w:r>
        <w:t>A. Fondemission</w:t>
      </w:r>
    </w:p>
    <w:p w14:paraId="6090D254" w14:textId="6564D434" w:rsidR="00D359F8" w:rsidRPr="00D359F8" w:rsidRDefault="00D359F8" w:rsidP="00CF5818">
      <w:pPr>
        <w:jc w:val="both"/>
      </w:pPr>
      <w:r w:rsidRPr="00D359F8">
        <w:t xml:space="preserve">Genomför </w:t>
      </w:r>
      <w:r>
        <w:t xml:space="preserve">Bolaget en fondemission, </w:t>
      </w:r>
      <w:r w:rsidR="00236D42">
        <w:t>ska</w:t>
      </w:r>
      <w:r>
        <w:t xml:space="preserve"> K</w:t>
      </w:r>
      <w:r w:rsidRPr="00D359F8">
        <w:t xml:space="preserve">onvertering som påkallas på sådan tid, att den inte kan verkställas senast på femte vardagen före bolagsstämma, som beslutar om emissionen, verkställas först sedan stämman beslutat om denna. Aktier, som tillkommit på grund av </w:t>
      </w:r>
      <w:r w:rsidR="00D1075B">
        <w:t>Konvertering</w:t>
      </w:r>
      <w:r w:rsidRPr="00D359F8">
        <w:t xml:space="preserve"> verkställd efter </w:t>
      </w:r>
      <w:proofErr w:type="spellStart"/>
      <w:r w:rsidRPr="00D359F8">
        <w:t>emissionsbes</w:t>
      </w:r>
      <w:r w:rsidR="00DE077F">
        <w:t>lutet</w:t>
      </w:r>
      <w:proofErr w:type="spellEnd"/>
      <w:r w:rsidR="00DE077F">
        <w:t xml:space="preserve"> upptas interimistiskt på A</w:t>
      </w:r>
      <w:r w:rsidRPr="00D359F8">
        <w:t>vstämningskonto, vilket innebär att de inte har rätt att delta i emiss</w:t>
      </w:r>
      <w:r w:rsidR="00DE077F">
        <w:t>ionen. Slutlig registrering på A</w:t>
      </w:r>
      <w:r w:rsidRPr="00D359F8">
        <w:t>vstämningskonto sker först efter avstämningsdagen för emissionen.</w:t>
      </w:r>
    </w:p>
    <w:p w14:paraId="2EE1CD63" w14:textId="77777777" w:rsidR="00D359F8" w:rsidRPr="00D359F8" w:rsidRDefault="00D359F8" w:rsidP="00CF5818">
      <w:pPr>
        <w:jc w:val="both"/>
      </w:pPr>
      <w:r>
        <w:t>Vid K</w:t>
      </w:r>
      <w:r w:rsidRPr="00D359F8">
        <w:t>onvertering som verkställs efter beslutet om fondem</w:t>
      </w:r>
      <w:r>
        <w:t>issionen tillämpas en omräknad K</w:t>
      </w:r>
      <w:r w:rsidRPr="00D359F8">
        <w:t>onverteringskurs. Omräkningen utförs av Bolaget enligt följande formel:</w:t>
      </w:r>
    </w:p>
    <w:p w14:paraId="279125E2" w14:textId="77777777" w:rsidR="00D359F8" w:rsidRPr="00D359F8" w:rsidRDefault="00D359F8" w:rsidP="00CF5818">
      <w:pPr>
        <w:jc w:val="both"/>
      </w:pPr>
    </w:p>
    <w:tbl>
      <w:tblPr>
        <w:tblW w:w="0" w:type="auto"/>
        <w:tblLayout w:type="fixed"/>
        <w:tblCellMar>
          <w:left w:w="0" w:type="dxa"/>
          <w:right w:w="0" w:type="dxa"/>
        </w:tblCellMar>
        <w:tblLook w:val="0000" w:firstRow="0" w:lastRow="0" w:firstColumn="0" w:lastColumn="0" w:noHBand="0" w:noVBand="0"/>
      </w:tblPr>
      <w:tblGrid>
        <w:gridCol w:w="2010"/>
        <w:gridCol w:w="781"/>
        <w:gridCol w:w="3636"/>
      </w:tblGrid>
      <w:tr w:rsidR="00D359F8" w:rsidRPr="00D359F8" w14:paraId="15041E58" w14:textId="77777777" w:rsidTr="00795684">
        <w:trPr>
          <w:trHeight w:hRule="exact" w:val="649"/>
        </w:trPr>
        <w:tc>
          <w:tcPr>
            <w:tcW w:w="2010" w:type="dxa"/>
            <w:tcBorders>
              <w:top w:val="nil"/>
              <w:left w:val="nil"/>
              <w:bottom w:val="nil"/>
              <w:right w:val="nil"/>
            </w:tcBorders>
          </w:tcPr>
          <w:p w14:paraId="06671D8E" w14:textId="77777777" w:rsidR="00D359F8" w:rsidRPr="00D359F8" w:rsidRDefault="00D359F8" w:rsidP="00CF5818">
            <w:pPr>
              <w:spacing w:before="0"/>
              <w:jc w:val="both"/>
            </w:pPr>
            <w:r w:rsidRPr="00D359F8">
              <w:t>omräknad konverteringskurs</w:t>
            </w:r>
          </w:p>
        </w:tc>
        <w:tc>
          <w:tcPr>
            <w:tcW w:w="781" w:type="dxa"/>
            <w:tcBorders>
              <w:top w:val="nil"/>
              <w:left w:val="nil"/>
              <w:bottom w:val="nil"/>
              <w:right w:val="nil"/>
            </w:tcBorders>
          </w:tcPr>
          <w:p w14:paraId="3CE58AE1" w14:textId="77777777" w:rsidR="00D359F8" w:rsidRPr="00D359F8" w:rsidRDefault="00D359F8" w:rsidP="00CF5818">
            <w:pPr>
              <w:spacing w:before="0"/>
              <w:jc w:val="both"/>
            </w:pPr>
          </w:p>
          <w:p w14:paraId="4D0DBFB7" w14:textId="77777777" w:rsidR="00D359F8" w:rsidRPr="00D359F8" w:rsidRDefault="00D359F8" w:rsidP="00CF5818">
            <w:pPr>
              <w:spacing w:before="0"/>
              <w:jc w:val="both"/>
            </w:pPr>
            <w:r w:rsidRPr="00D359F8">
              <w:t>=</w:t>
            </w:r>
          </w:p>
        </w:tc>
        <w:tc>
          <w:tcPr>
            <w:tcW w:w="3636" w:type="dxa"/>
            <w:tcBorders>
              <w:top w:val="nil"/>
              <w:left w:val="nil"/>
              <w:bottom w:val="nil"/>
              <w:right w:val="nil"/>
            </w:tcBorders>
          </w:tcPr>
          <w:p w14:paraId="2380B17D" w14:textId="77777777" w:rsidR="00CB5132" w:rsidRDefault="00D359F8" w:rsidP="00CF5818">
            <w:pPr>
              <w:spacing w:before="0"/>
              <w:jc w:val="both"/>
            </w:pPr>
            <w:r>
              <w:t>föregående K</w:t>
            </w:r>
            <w:r w:rsidR="00CB5132">
              <w:t>onverteringskurs x</w:t>
            </w:r>
          </w:p>
          <w:p w14:paraId="1B25D25E" w14:textId="77777777" w:rsidR="00D359F8" w:rsidRPr="00D359F8" w:rsidRDefault="00D359F8" w:rsidP="00CF5818">
            <w:pPr>
              <w:spacing w:before="0"/>
              <w:jc w:val="both"/>
            </w:pPr>
            <w:r w:rsidRPr="00CB5132">
              <w:rPr>
                <w:u w:val="single"/>
              </w:rPr>
              <w:t>antalet aktier före fondemissionen</w:t>
            </w:r>
          </w:p>
        </w:tc>
      </w:tr>
      <w:tr w:rsidR="00D359F8" w:rsidRPr="00D359F8" w14:paraId="64660216" w14:textId="77777777" w:rsidTr="00795684">
        <w:trPr>
          <w:trHeight w:hRule="exact" w:val="550"/>
        </w:trPr>
        <w:tc>
          <w:tcPr>
            <w:tcW w:w="2010" w:type="dxa"/>
            <w:tcBorders>
              <w:top w:val="nil"/>
              <w:left w:val="nil"/>
              <w:bottom w:val="nil"/>
              <w:right w:val="nil"/>
            </w:tcBorders>
          </w:tcPr>
          <w:p w14:paraId="5A0CC04D" w14:textId="77777777" w:rsidR="00D359F8" w:rsidRPr="00D359F8" w:rsidRDefault="00D359F8" w:rsidP="00CF5818">
            <w:pPr>
              <w:jc w:val="both"/>
            </w:pPr>
          </w:p>
        </w:tc>
        <w:tc>
          <w:tcPr>
            <w:tcW w:w="781" w:type="dxa"/>
            <w:tcBorders>
              <w:top w:val="nil"/>
              <w:left w:val="nil"/>
              <w:bottom w:val="nil"/>
              <w:right w:val="nil"/>
            </w:tcBorders>
          </w:tcPr>
          <w:p w14:paraId="363A3BDD" w14:textId="77777777" w:rsidR="00D359F8" w:rsidRPr="00D359F8" w:rsidRDefault="00D359F8" w:rsidP="00CF5818">
            <w:pPr>
              <w:jc w:val="both"/>
            </w:pPr>
          </w:p>
        </w:tc>
        <w:tc>
          <w:tcPr>
            <w:tcW w:w="3636" w:type="dxa"/>
            <w:tcBorders>
              <w:top w:val="nil"/>
              <w:left w:val="nil"/>
              <w:bottom w:val="nil"/>
              <w:right w:val="nil"/>
            </w:tcBorders>
          </w:tcPr>
          <w:p w14:paraId="73176AB8" w14:textId="77777777" w:rsidR="00D359F8" w:rsidRPr="00D359F8" w:rsidRDefault="00D359F8" w:rsidP="00CF5818">
            <w:pPr>
              <w:spacing w:before="0"/>
              <w:jc w:val="both"/>
            </w:pPr>
            <w:r w:rsidRPr="00D359F8">
              <w:t>antalet aktier efter fondemissionen</w:t>
            </w:r>
          </w:p>
        </w:tc>
      </w:tr>
    </w:tbl>
    <w:p w14:paraId="386AFFE7" w14:textId="77777777" w:rsidR="00D359F8" w:rsidRPr="00D359F8" w:rsidRDefault="00D359F8" w:rsidP="00CF5818">
      <w:pPr>
        <w:jc w:val="both"/>
      </w:pPr>
    </w:p>
    <w:p w14:paraId="7BE808B2" w14:textId="3E7D53C4" w:rsidR="00D359F8" w:rsidRPr="00D359F8" w:rsidRDefault="00D359F8" w:rsidP="00CF5818">
      <w:pPr>
        <w:jc w:val="both"/>
      </w:pPr>
      <w:r w:rsidRPr="00D359F8">
        <w:t>Vid omräkning enligt ovanstå</w:t>
      </w:r>
      <w:r w:rsidR="00CB5132">
        <w:t xml:space="preserve">ende formel </w:t>
      </w:r>
      <w:r w:rsidR="00236D42">
        <w:t>ska</w:t>
      </w:r>
      <w:r w:rsidR="00CB5132">
        <w:t xml:space="preserve"> bortses från A</w:t>
      </w:r>
      <w:r w:rsidRPr="00D359F8">
        <w:t>ktier som innehas av Bolaget.</w:t>
      </w:r>
    </w:p>
    <w:p w14:paraId="0FA29552" w14:textId="77777777" w:rsidR="00D359F8" w:rsidRPr="00D359F8" w:rsidRDefault="00D359F8" w:rsidP="00CF5818">
      <w:pPr>
        <w:jc w:val="both"/>
      </w:pPr>
      <w:r>
        <w:t>Den enligt ovan omräknade K</w:t>
      </w:r>
      <w:r w:rsidRPr="00D359F8">
        <w:t>onverteringskursen fastställs av Bolaget snarast möjligt efter bolagsstämmans beslut om fondemission men tillämpas först efter avstämningsdagen för emissionen.</w:t>
      </w:r>
    </w:p>
    <w:p w14:paraId="6B47199E" w14:textId="77777777" w:rsidR="00F265FE" w:rsidRDefault="00174ED5" w:rsidP="00CF5818">
      <w:pPr>
        <w:pStyle w:val="Heading3"/>
        <w:jc w:val="both"/>
      </w:pPr>
      <w:r>
        <w:lastRenderedPageBreak/>
        <w:t>B. Sammanläggning eller uppdelning (split)</w:t>
      </w:r>
    </w:p>
    <w:p w14:paraId="21AEB065" w14:textId="6A68A2FD" w:rsidR="00F50A44" w:rsidRDefault="00174ED5" w:rsidP="005B1F48">
      <w:pPr>
        <w:pStyle w:val="Bulletpointnumber"/>
        <w:numPr>
          <w:ilvl w:val="0"/>
          <w:numId w:val="0"/>
        </w:numPr>
        <w:jc w:val="both"/>
      </w:pPr>
      <w:r>
        <w:t xml:space="preserve">Vid sammanläggning eller uppdelning </w:t>
      </w:r>
      <w:r w:rsidR="00DE077F">
        <w:t>(split) av Bolagets</w:t>
      </w:r>
      <w:r w:rsidR="00CB5132">
        <w:t xml:space="preserve"> befintliga A</w:t>
      </w:r>
      <w:r>
        <w:t>ktier har bestämmelserna i</w:t>
      </w:r>
      <w:r w:rsidR="005B1F48">
        <w:t xml:space="preserve"> </w:t>
      </w:r>
      <w:r>
        <w:t xml:space="preserve">punkt A motsvarande tillämpning, </w:t>
      </w:r>
      <w:r w:rsidR="00CB5132">
        <w:t>varvid i förekommande fall som a</w:t>
      </w:r>
      <w:r>
        <w:t xml:space="preserve">vstämningsdag ska anses den dag då sammanläggning respektive uppdelning, på Bolagets begäran, sker hos </w:t>
      </w:r>
      <w:proofErr w:type="spellStart"/>
      <w:r>
        <w:t>Euroclear</w:t>
      </w:r>
      <w:proofErr w:type="spellEnd"/>
      <w:r w:rsidR="00DE077F">
        <w:t xml:space="preserve"> Sweden</w:t>
      </w:r>
      <w:r>
        <w:t>.</w:t>
      </w:r>
    </w:p>
    <w:p w14:paraId="45B1DF0B" w14:textId="77777777" w:rsidR="00F265FE" w:rsidRDefault="00174ED5" w:rsidP="00CF5818">
      <w:pPr>
        <w:pStyle w:val="Heading3"/>
        <w:jc w:val="both"/>
      </w:pPr>
      <w:r>
        <w:t>C. Nyemission av Aktier</w:t>
      </w:r>
    </w:p>
    <w:p w14:paraId="53C6865B" w14:textId="77777777" w:rsidR="00F265FE" w:rsidRDefault="00174ED5" w:rsidP="00CF5818">
      <w:pPr>
        <w:jc w:val="both"/>
      </w:pPr>
      <w:r>
        <w:t xml:space="preserve">Vid nyemission med företrädesrätt för aktieägarna att teckna nya Aktier mot kontant betalning ska följande gälla beträffande rätten att delta i emissionen på grund av Aktie som </w:t>
      </w:r>
      <w:r w:rsidR="00CB5132">
        <w:t>tillkommit på grund av K</w:t>
      </w:r>
      <w:r w:rsidR="00CB5132" w:rsidRPr="00CB5132">
        <w:t>onvertering</w:t>
      </w:r>
      <w:r>
        <w:t>:</w:t>
      </w:r>
    </w:p>
    <w:p w14:paraId="021D3757" w14:textId="610F1768" w:rsidR="00F265FE" w:rsidRDefault="00174ED5" w:rsidP="00CF5818">
      <w:pPr>
        <w:pStyle w:val="Bulletpointnumber"/>
        <w:numPr>
          <w:ilvl w:val="0"/>
          <w:numId w:val="26"/>
        </w:numPr>
        <w:jc w:val="both"/>
      </w:pPr>
      <w:r>
        <w:t>Beslutas emissionen av Bolagets styrelse under förutsättning av bolagsstämmans godkännande eller med stöd av bolagsstämmans bemyndigande,</w:t>
      </w:r>
      <w:r w:rsidR="007301E6">
        <w:t xml:space="preserve"> ska i </w:t>
      </w:r>
      <w:proofErr w:type="spellStart"/>
      <w:r w:rsidR="007301E6">
        <w:t>emissionsbeslutet</w:t>
      </w:r>
      <w:proofErr w:type="spellEnd"/>
      <w:r w:rsidR="007301E6">
        <w:t xml:space="preserve"> </w:t>
      </w:r>
      <w:r>
        <w:t xml:space="preserve">anges den senaste dag då </w:t>
      </w:r>
      <w:r w:rsidR="007301E6">
        <w:t>K</w:t>
      </w:r>
      <w:r w:rsidR="007301E6" w:rsidRPr="007301E6">
        <w:t>onvertering</w:t>
      </w:r>
      <w:r w:rsidR="007301E6">
        <w:t xml:space="preserve"> </w:t>
      </w:r>
      <w:r w:rsidR="00236D42">
        <w:t>ska</w:t>
      </w:r>
      <w:r w:rsidR="007301E6">
        <w:t xml:space="preserve"> vara verkställd för att A</w:t>
      </w:r>
      <w:r w:rsidR="007301E6" w:rsidRPr="007301E6">
        <w:t xml:space="preserve">ktie, som tillkommit genom </w:t>
      </w:r>
      <w:r w:rsidR="00D1075B">
        <w:t>Konvertering</w:t>
      </w:r>
      <w:r w:rsidR="007301E6" w:rsidRPr="007301E6">
        <w:t xml:space="preserve">, </w:t>
      </w:r>
      <w:r w:rsidR="00236D42">
        <w:t>ska</w:t>
      </w:r>
      <w:r w:rsidR="007301E6" w:rsidRPr="007301E6">
        <w:t xml:space="preserve"> medföra rätt att delta i emissionen. Sådan dag får inte infalla tidigare än tionde kalenderdagen efter beslutet.</w:t>
      </w:r>
    </w:p>
    <w:p w14:paraId="35E0B5C2" w14:textId="77777777" w:rsidR="00F265FE" w:rsidRDefault="00174ED5" w:rsidP="00CF5818">
      <w:pPr>
        <w:pStyle w:val="Bulletpointnumber"/>
        <w:jc w:val="both"/>
      </w:pPr>
      <w:r>
        <w:t>Beslutas emissionen a</w:t>
      </w:r>
      <w:r w:rsidR="007301E6">
        <w:t>v bolagsstämman, ska K</w:t>
      </w:r>
      <w:r w:rsidR="007301E6" w:rsidRPr="007301E6">
        <w:t>onvertering som påkallas på sådan tid, att konverteringen inte kan verkställas senast på femte vardagen före den bolagsstämma som beslutar om emissionen</w:t>
      </w:r>
      <w:r>
        <w:t xml:space="preserve"> verkställas först sedan Bolaget verkställt omräkning. Aktie, som tillkommit på grund av sådan </w:t>
      </w:r>
      <w:r w:rsidR="007301E6">
        <w:t>Konvertering</w:t>
      </w:r>
      <w:r>
        <w:t>, upptas interimistiskt på Avstämningskonto, vilket innebär att de inte har rätt att delta i emissionen. Slutlig registrering på Avstämningskonto sker först efter avstämningsdagen för emissionen.</w:t>
      </w:r>
    </w:p>
    <w:p w14:paraId="08A9B351" w14:textId="77777777" w:rsidR="007301E6" w:rsidRDefault="00174ED5" w:rsidP="00CF5818">
      <w:pPr>
        <w:jc w:val="both"/>
      </w:pPr>
      <w:r>
        <w:t xml:space="preserve">Vid </w:t>
      </w:r>
      <w:r w:rsidR="007301E6">
        <w:t>Konvertering</w:t>
      </w:r>
      <w:r>
        <w:t xml:space="preserve"> som verkställts på sådan tid att rätt till deltagande i nyemissionen inte u</w:t>
      </w:r>
      <w:r w:rsidR="007301E6">
        <w:t xml:space="preserve">ppkommer tillämpas en omräknad Konverteringskurs. </w:t>
      </w:r>
    </w:p>
    <w:p w14:paraId="7150DAC0" w14:textId="77777777" w:rsidR="007301E6" w:rsidRPr="007301E6" w:rsidRDefault="00174ED5" w:rsidP="00CF5818">
      <w:pPr>
        <w:jc w:val="both"/>
      </w:pPr>
      <w:r w:rsidRPr="007301E6">
        <w:t>Omräkningen utförs av Bolaget</w:t>
      </w:r>
      <w:r w:rsidR="00680CC4">
        <w:t>, genom styrelsen,</w:t>
      </w:r>
      <w:r w:rsidRPr="007301E6">
        <w:t xml:space="preserve"> enligt följande formel:</w:t>
      </w:r>
      <w:r w:rsidRPr="007301E6">
        <w:br/>
      </w:r>
    </w:p>
    <w:tbl>
      <w:tblPr>
        <w:tblW w:w="7658" w:type="dxa"/>
        <w:tblLayout w:type="fixed"/>
        <w:tblCellMar>
          <w:left w:w="0" w:type="dxa"/>
          <w:right w:w="0" w:type="dxa"/>
        </w:tblCellMar>
        <w:tblLook w:val="0000" w:firstRow="0" w:lastRow="0" w:firstColumn="0" w:lastColumn="0" w:noHBand="0" w:noVBand="0"/>
      </w:tblPr>
      <w:tblGrid>
        <w:gridCol w:w="1939"/>
        <w:gridCol w:w="754"/>
        <w:gridCol w:w="4965"/>
      </w:tblGrid>
      <w:tr w:rsidR="00680CC4" w:rsidRPr="00807F80" w14:paraId="760109DC" w14:textId="77777777" w:rsidTr="00D26D6F">
        <w:trPr>
          <w:trHeight w:hRule="exact" w:val="924"/>
        </w:trPr>
        <w:tc>
          <w:tcPr>
            <w:tcW w:w="1939" w:type="dxa"/>
            <w:vMerge w:val="restart"/>
            <w:tcBorders>
              <w:top w:val="nil"/>
              <w:left w:val="nil"/>
              <w:right w:val="nil"/>
            </w:tcBorders>
          </w:tcPr>
          <w:p w14:paraId="45E4FE05" w14:textId="77777777" w:rsidR="00680CC4" w:rsidRPr="00807F80" w:rsidRDefault="00680CC4" w:rsidP="00CF5818">
            <w:pPr>
              <w:spacing w:before="0"/>
              <w:jc w:val="both"/>
              <w:rPr>
                <w:rFonts w:asciiTheme="minorHAnsi" w:hAnsiTheme="minorHAnsi" w:cstheme="minorHAnsi"/>
              </w:rPr>
            </w:pPr>
          </w:p>
          <w:p w14:paraId="7CF1F2D5" w14:textId="77777777" w:rsidR="00680CC4" w:rsidRDefault="00680CC4" w:rsidP="00CF5818">
            <w:pPr>
              <w:spacing w:before="0"/>
              <w:jc w:val="both"/>
              <w:rPr>
                <w:rFonts w:asciiTheme="minorHAnsi" w:hAnsiTheme="minorHAnsi" w:cstheme="minorHAnsi"/>
              </w:rPr>
            </w:pPr>
          </w:p>
          <w:p w14:paraId="68FDE098" w14:textId="77777777" w:rsidR="00680CC4" w:rsidRPr="00807F80" w:rsidRDefault="00680CC4" w:rsidP="00CF5818">
            <w:pPr>
              <w:spacing w:before="0"/>
              <w:jc w:val="both"/>
              <w:rPr>
                <w:rFonts w:asciiTheme="minorHAnsi" w:hAnsiTheme="minorHAnsi" w:cstheme="minorHAnsi"/>
              </w:rPr>
            </w:pPr>
            <w:r>
              <w:rPr>
                <w:rFonts w:asciiTheme="minorHAnsi" w:hAnsiTheme="minorHAnsi" w:cstheme="minorHAnsi"/>
              </w:rPr>
              <w:t>o</w:t>
            </w:r>
            <w:r w:rsidRPr="00807F80">
              <w:rPr>
                <w:rFonts w:asciiTheme="minorHAnsi" w:hAnsiTheme="minorHAnsi" w:cstheme="minorHAnsi"/>
              </w:rPr>
              <w:t>mräknad</w:t>
            </w:r>
            <w:r>
              <w:rPr>
                <w:rFonts w:asciiTheme="minorHAnsi" w:hAnsiTheme="minorHAnsi" w:cstheme="minorHAnsi"/>
              </w:rPr>
              <w:t xml:space="preserve"> </w:t>
            </w:r>
            <w:r w:rsidRPr="00807F80">
              <w:rPr>
                <w:rFonts w:asciiTheme="minorHAnsi" w:hAnsiTheme="minorHAnsi" w:cstheme="minorHAnsi"/>
              </w:rPr>
              <w:t>konverteringskurs</w:t>
            </w:r>
          </w:p>
        </w:tc>
        <w:tc>
          <w:tcPr>
            <w:tcW w:w="754" w:type="dxa"/>
            <w:vMerge w:val="restart"/>
            <w:tcBorders>
              <w:top w:val="nil"/>
              <w:left w:val="nil"/>
              <w:right w:val="nil"/>
            </w:tcBorders>
          </w:tcPr>
          <w:p w14:paraId="6E9E13F0" w14:textId="77777777" w:rsidR="00680CC4" w:rsidRDefault="00680CC4" w:rsidP="00CF5818">
            <w:pPr>
              <w:spacing w:before="0"/>
              <w:jc w:val="both"/>
              <w:rPr>
                <w:rFonts w:asciiTheme="minorHAnsi" w:hAnsiTheme="minorHAnsi" w:cstheme="minorHAnsi"/>
              </w:rPr>
            </w:pPr>
          </w:p>
          <w:p w14:paraId="416FCD88" w14:textId="77777777" w:rsidR="00414184" w:rsidRDefault="00414184" w:rsidP="00CF5818">
            <w:pPr>
              <w:spacing w:before="0"/>
              <w:jc w:val="both"/>
              <w:rPr>
                <w:rFonts w:asciiTheme="minorHAnsi" w:hAnsiTheme="minorHAnsi" w:cstheme="minorHAnsi"/>
              </w:rPr>
            </w:pPr>
          </w:p>
          <w:p w14:paraId="792CB13F" w14:textId="77777777" w:rsidR="00680CC4" w:rsidRPr="00807F80" w:rsidRDefault="00680CC4" w:rsidP="00CF5818">
            <w:pPr>
              <w:spacing w:before="0"/>
              <w:jc w:val="both"/>
              <w:rPr>
                <w:rFonts w:asciiTheme="minorHAnsi" w:hAnsiTheme="minorHAnsi" w:cstheme="minorHAnsi"/>
              </w:rPr>
            </w:pPr>
            <w:r>
              <w:rPr>
                <w:rFonts w:asciiTheme="minorHAnsi" w:hAnsiTheme="minorHAnsi" w:cstheme="minorHAnsi"/>
              </w:rPr>
              <w:t>=</w:t>
            </w:r>
          </w:p>
        </w:tc>
        <w:tc>
          <w:tcPr>
            <w:tcW w:w="4965" w:type="dxa"/>
            <w:tcBorders>
              <w:top w:val="nil"/>
              <w:left w:val="nil"/>
              <w:bottom w:val="single" w:sz="4" w:space="0" w:color="auto"/>
              <w:right w:val="nil"/>
            </w:tcBorders>
          </w:tcPr>
          <w:p w14:paraId="4298ABBB" w14:textId="77777777" w:rsidR="00680CC4" w:rsidRPr="00807F80" w:rsidRDefault="00680CC4" w:rsidP="00CF5818">
            <w:pPr>
              <w:spacing w:before="0"/>
              <w:jc w:val="both"/>
              <w:rPr>
                <w:rFonts w:asciiTheme="minorHAnsi" w:hAnsiTheme="minorHAnsi" w:cstheme="minorHAnsi"/>
              </w:rPr>
            </w:pPr>
            <w:r>
              <w:rPr>
                <w:rFonts w:asciiTheme="minorHAnsi" w:hAnsiTheme="minorHAnsi" w:cstheme="minorHAnsi"/>
              </w:rPr>
              <w:t>föregående Konverteringskurs x Aktiens genom</w:t>
            </w:r>
            <w:r w:rsidRPr="00807F80">
              <w:rPr>
                <w:rFonts w:asciiTheme="minorHAnsi" w:hAnsiTheme="minorHAnsi" w:cstheme="minorHAnsi"/>
              </w:rPr>
              <w:t>sni</w:t>
            </w:r>
            <w:r>
              <w:rPr>
                <w:rFonts w:asciiTheme="minorHAnsi" w:hAnsiTheme="minorHAnsi" w:cstheme="minorHAnsi"/>
              </w:rPr>
              <w:t>ttskurs</w:t>
            </w:r>
            <w:r w:rsidRPr="00807F80">
              <w:rPr>
                <w:rFonts w:asciiTheme="minorHAnsi" w:hAnsiTheme="minorHAnsi" w:cstheme="minorHAnsi"/>
              </w:rPr>
              <w:t xml:space="preserve"> under den i </w:t>
            </w:r>
            <w:proofErr w:type="spellStart"/>
            <w:r w:rsidRPr="00807F80">
              <w:rPr>
                <w:rFonts w:asciiTheme="minorHAnsi" w:hAnsiTheme="minorHAnsi" w:cstheme="minorHAnsi"/>
              </w:rPr>
              <w:t>emissionsbeslutet</w:t>
            </w:r>
            <w:proofErr w:type="spellEnd"/>
            <w:r>
              <w:rPr>
                <w:rFonts w:asciiTheme="minorHAnsi" w:hAnsiTheme="minorHAnsi" w:cstheme="minorHAnsi"/>
              </w:rPr>
              <w:t xml:space="preserve"> </w:t>
            </w:r>
            <w:r w:rsidRPr="00680CC4">
              <w:rPr>
                <w:rFonts w:asciiTheme="minorHAnsi" w:hAnsiTheme="minorHAnsi" w:cstheme="minorHAnsi"/>
              </w:rPr>
              <w:t>fastställda teckningstiden (aktiens genomsnittskurs)</w:t>
            </w:r>
          </w:p>
        </w:tc>
      </w:tr>
      <w:tr w:rsidR="00680CC4" w:rsidRPr="00807F80" w14:paraId="29B2489C" w14:textId="77777777" w:rsidTr="00D26D6F">
        <w:trPr>
          <w:trHeight w:hRule="exact" w:val="844"/>
        </w:trPr>
        <w:tc>
          <w:tcPr>
            <w:tcW w:w="1939" w:type="dxa"/>
            <w:vMerge/>
            <w:tcBorders>
              <w:left w:val="nil"/>
              <w:bottom w:val="nil"/>
              <w:right w:val="nil"/>
            </w:tcBorders>
          </w:tcPr>
          <w:p w14:paraId="20E43077" w14:textId="77777777" w:rsidR="00680CC4" w:rsidRPr="00807F80" w:rsidRDefault="00680CC4" w:rsidP="00CF5818">
            <w:pPr>
              <w:spacing w:before="0"/>
              <w:jc w:val="both"/>
              <w:rPr>
                <w:rFonts w:asciiTheme="minorHAnsi" w:hAnsiTheme="minorHAnsi" w:cstheme="minorHAnsi"/>
              </w:rPr>
            </w:pPr>
          </w:p>
        </w:tc>
        <w:tc>
          <w:tcPr>
            <w:tcW w:w="754" w:type="dxa"/>
            <w:vMerge/>
            <w:tcBorders>
              <w:left w:val="nil"/>
              <w:bottom w:val="nil"/>
              <w:right w:val="nil"/>
            </w:tcBorders>
          </w:tcPr>
          <w:p w14:paraId="6D23FC4D" w14:textId="77777777" w:rsidR="00680CC4" w:rsidRPr="00807F80" w:rsidRDefault="00680CC4" w:rsidP="00CF5818">
            <w:pPr>
              <w:spacing w:before="0"/>
              <w:jc w:val="both"/>
              <w:rPr>
                <w:rFonts w:asciiTheme="minorHAnsi" w:hAnsiTheme="minorHAnsi" w:cstheme="minorHAnsi"/>
              </w:rPr>
            </w:pPr>
          </w:p>
        </w:tc>
        <w:tc>
          <w:tcPr>
            <w:tcW w:w="4965" w:type="dxa"/>
            <w:tcBorders>
              <w:top w:val="single" w:sz="4" w:space="0" w:color="auto"/>
              <w:left w:val="nil"/>
              <w:bottom w:val="nil"/>
              <w:right w:val="nil"/>
            </w:tcBorders>
          </w:tcPr>
          <w:p w14:paraId="18930339" w14:textId="77777777" w:rsidR="00680CC4" w:rsidRPr="00807F80" w:rsidRDefault="00680CC4" w:rsidP="00CF5818">
            <w:pPr>
              <w:spacing w:before="0"/>
              <w:jc w:val="both"/>
              <w:rPr>
                <w:rFonts w:asciiTheme="minorHAnsi" w:hAnsiTheme="minorHAnsi" w:cstheme="minorHAnsi"/>
              </w:rPr>
            </w:pPr>
            <w:r w:rsidRPr="00807F80">
              <w:rPr>
                <w:rFonts w:asciiTheme="minorHAnsi" w:hAnsiTheme="minorHAnsi" w:cstheme="minorHAnsi"/>
              </w:rPr>
              <w:t>aktiens genomsnittskurs ökad med det på grundval</w:t>
            </w:r>
            <w:r>
              <w:rPr>
                <w:rFonts w:asciiTheme="minorHAnsi" w:hAnsiTheme="minorHAnsi" w:cstheme="minorHAnsi"/>
              </w:rPr>
              <w:t xml:space="preserve"> </w:t>
            </w:r>
            <w:r w:rsidRPr="00807F80">
              <w:rPr>
                <w:rFonts w:asciiTheme="minorHAnsi" w:hAnsiTheme="minorHAnsi" w:cstheme="minorHAnsi"/>
              </w:rPr>
              <w:t>därav framräknade teoretiska värdet på</w:t>
            </w:r>
          </w:p>
          <w:p w14:paraId="5AEF4EE3" w14:textId="77777777" w:rsidR="00680CC4" w:rsidRPr="00807F80" w:rsidRDefault="00680CC4" w:rsidP="00CF5818">
            <w:pPr>
              <w:spacing w:before="0"/>
              <w:jc w:val="both"/>
              <w:rPr>
                <w:rFonts w:asciiTheme="minorHAnsi" w:hAnsiTheme="minorHAnsi" w:cstheme="minorHAnsi"/>
              </w:rPr>
            </w:pPr>
            <w:r w:rsidRPr="00807F80">
              <w:rPr>
                <w:rFonts w:asciiTheme="minorHAnsi" w:hAnsiTheme="minorHAnsi" w:cstheme="minorHAnsi"/>
              </w:rPr>
              <w:t>teckningsrätten</w:t>
            </w:r>
          </w:p>
        </w:tc>
      </w:tr>
    </w:tbl>
    <w:p w14:paraId="379862F6" w14:textId="77777777" w:rsidR="00F265FE" w:rsidRDefault="00174ED5" w:rsidP="00CF5818">
      <w:pPr>
        <w:jc w:val="both"/>
      </w:pPr>
      <w:r>
        <w:t xml:space="preserve">Aktiens genomsnittskurs ska anses motsvara genomsnittet av det för varje handelsdag under teckningstiden framräknade medeltalet av den under dagen noterade högsta och lägsta betalkursen enligt </w:t>
      </w:r>
      <w:r w:rsidR="008338AA">
        <w:t>Nasdaq Stockholms</w:t>
      </w:r>
      <w:r>
        <w:t xml:space="preserve"> officiella kurslista. I avsaknad av notering av betalkurs ska i stället den som slutkurs noterade köpkursen ingå i beräkningen. Dag utan notering av vare sig betalkurs eller köpkurs ska inte ingå i beräkningen.</w:t>
      </w:r>
    </w:p>
    <w:p w14:paraId="21981813" w14:textId="03E2508A" w:rsidR="008338AA" w:rsidRDefault="00174ED5" w:rsidP="00CF5818">
      <w:pPr>
        <w:jc w:val="both"/>
      </w:pPr>
      <w:r>
        <w:t>Det teoretiska värdet på teckningsrätten beräknas enligt följande formel:</w:t>
      </w:r>
    </w:p>
    <w:p w14:paraId="1C386F97" w14:textId="3C1DA2D6" w:rsidR="007A64D1" w:rsidRDefault="007A64D1" w:rsidP="00CF5818">
      <w:pPr>
        <w:jc w:val="both"/>
      </w:pPr>
    </w:p>
    <w:p w14:paraId="57FCC14F" w14:textId="77777777" w:rsidR="007A64D1" w:rsidRDefault="007A64D1" w:rsidP="00CF5818">
      <w:pPr>
        <w:jc w:val="both"/>
      </w:pPr>
    </w:p>
    <w:tbl>
      <w:tblPr>
        <w:tblW w:w="7821" w:type="dxa"/>
        <w:tblLayout w:type="fixed"/>
        <w:tblCellMar>
          <w:left w:w="0" w:type="dxa"/>
          <w:right w:w="0" w:type="dxa"/>
        </w:tblCellMar>
        <w:tblLook w:val="0000" w:firstRow="0" w:lastRow="0" w:firstColumn="0" w:lastColumn="0" w:noHBand="0" w:noVBand="0"/>
      </w:tblPr>
      <w:tblGrid>
        <w:gridCol w:w="1855"/>
        <w:gridCol w:w="895"/>
        <w:gridCol w:w="5071"/>
      </w:tblGrid>
      <w:tr w:rsidR="00680CC4" w:rsidRPr="00807F80" w14:paraId="28B78E58" w14:textId="77777777" w:rsidTr="00654484">
        <w:trPr>
          <w:trHeight w:hRule="exact" w:val="860"/>
        </w:trPr>
        <w:tc>
          <w:tcPr>
            <w:tcW w:w="1855" w:type="dxa"/>
            <w:vMerge w:val="restart"/>
            <w:tcBorders>
              <w:top w:val="nil"/>
              <w:left w:val="nil"/>
              <w:right w:val="nil"/>
            </w:tcBorders>
          </w:tcPr>
          <w:p w14:paraId="62E06173" w14:textId="77777777" w:rsidR="00680CC4" w:rsidRPr="00807F80" w:rsidRDefault="00680CC4" w:rsidP="00CF5818">
            <w:pPr>
              <w:spacing w:before="0"/>
              <w:jc w:val="both"/>
              <w:rPr>
                <w:rFonts w:asciiTheme="minorHAnsi" w:hAnsiTheme="minorHAnsi" w:cstheme="minorHAnsi"/>
              </w:rPr>
            </w:pPr>
          </w:p>
          <w:p w14:paraId="55075CBB" w14:textId="77777777" w:rsidR="00680CC4" w:rsidRDefault="00680CC4" w:rsidP="00CF5818">
            <w:pPr>
              <w:spacing w:before="0"/>
              <w:jc w:val="both"/>
              <w:rPr>
                <w:rFonts w:asciiTheme="minorHAnsi" w:hAnsiTheme="minorHAnsi" w:cstheme="minorHAnsi"/>
              </w:rPr>
            </w:pPr>
          </w:p>
          <w:p w14:paraId="167D579D" w14:textId="77777777" w:rsidR="00680CC4" w:rsidRPr="00807F80" w:rsidRDefault="00680CC4" w:rsidP="00CF5818">
            <w:pPr>
              <w:spacing w:before="0"/>
              <w:jc w:val="both"/>
              <w:rPr>
                <w:rFonts w:asciiTheme="minorHAnsi" w:hAnsiTheme="minorHAnsi" w:cstheme="minorHAnsi"/>
              </w:rPr>
            </w:pPr>
            <w:r w:rsidRPr="008338AA">
              <w:rPr>
                <w:rFonts w:asciiTheme="minorHAnsi" w:hAnsiTheme="minorHAnsi" w:cstheme="minorHAnsi"/>
              </w:rPr>
              <w:t>teckningsrättens värde</w:t>
            </w:r>
          </w:p>
        </w:tc>
        <w:tc>
          <w:tcPr>
            <w:tcW w:w="895" w:type="dxa"/>
            <w:vMerge w:val="restart"/>
            <w:tcBorders>
              <w:top w:val="nil"/>
              <w:left w:val="nil"/>
              <w:right w:val="nil"/>
            </w:tcBorders>
          </w:tcPr>
          <w:p w14:paraId="6196E82B" w14:textId="77777777" w:rsidR="00680CC4" w:rsidRDefault="00680CC4" w:rsidP="00CF5818">
            <w:pPr>
              <w:spacing w:before="0"/>
              <w:jc w:val="both"/>
              <w:rPr>
                <w:rFonts w:asciiTheme="minorHAnsi" w:hAnsiTheme="minorHAnsi" w:cstheme="minorHAnsi"/>
              </w:rPr>
            </w:pPr>
          </w:p>
          <w:p w14:paraId="7555940E" w14:textId="77777777" w:rsidR="00414184" w:rsidRDefault="00414184" w:rsidP="00CF5818">
            <w:pPr>
              <w:spacing w:before="0"/>
              <w:jc w:val="both"/>
              <w:rPr>
                <w:rFonts w:asciiTheme="minorHAnsi" w:hAnsiTheme="minorHAnsi" w:cstheme="minorHAnsi"/>
              </w:rPr>
            </w:pPr>
          </w:p>
          <w:p w14:paraId="6F1DE680" w14:textId="77777777" w:rsidR="00680CC4" w:rsidRPr="00807F80" w:rsidRDefault="00680CC4" w:rsidP="00CF5818">
            <w:pPr>
              <w:spacing w:before="0"/>
              <w:jc w:val="both"/>
              <w:rPr>
                <w:rFonts w:asciiTheme="minorHAnsi" w:hAnsiTheme="minorHAnsi" w:cstheme="minorHAnsi"/>
              </w:rPr>
            </w:pPr>
            <w:r>
              <w:rPr>
                <w:rFonts w:asciiTheme="minorHAnsi" w:hAnsiTheme="minorHAnsi" w:cstheme="minorHAnsi"/>
              </w:rPr>
              <w:t>=</w:t>
            </w:r>
          </w:p>
        </w:tc>
        <w:tc>
          <w:tcPr>
            <w:tcW w:w="5071" w:type="dxa"/>
            <w:tcBorders>
              <w:top w:val="nil"/>
              <w:left w:val="nil"/>
              <w:bottom w:val="single" w:sz="4" w:space="0" w:color="auto"/>
              <w:right w:val="nil"/>
            </w:tcBorders>
          </w:tcPr>
          <w:p w14:paraId="6920C1CC" w14:textId="77777777" w:rsidR="00680CC4" w:rsidRPr="00807F80" w:rsidRDefault="00680CC4" w:rsidP="00CF5818">
            <w:pPr>
              <w:spacing w:before="0"/>
              <w:jc w:val="both"/>
              <w:rPr>
                <w:rFonts w:asciiTheme="minorHAnsi" w:hAnsiTheme="minorHAnsi" w:cstheme="minorHAnsi"/>
              </w:rPr>
            </w:pPr>
            <w:r w:rsidRPr="008338AA">
              <w:rPr>
                <w:rFonts w:asciiTheme="minorHAnsi" w:hAnsiTheme="minorHAnsi" w:cstheme="minorHAnsi"/>
              </w:rPr>
              <w:t xml:space="preserve">det antal nya Aktier som högst kan komma att utges enligt </w:t>
            </w:r>
            <w:proofErr w:type="spellStart"/>
            <w:r w:rsidRPr="008338AA">
              <w:rPr>
                <w:rFonts w:asciiTheme="minorHAnsi" w:hAnsiTheme="minorHAnsi" w:cstheme="minorHAnsi"/>
              </w:rPr>
              <w:t>emissionsbeslutet</w:t>
            </w:r>
            <w:proofErr w:type="spellEnd"/>
            <w:r w:rsidRPr="008338AA">
              <w:rPr>
                <w:rFonts w:asciiTheme="minorHAnsi" w:hAnsiTheme="minorHAnsi" w:cstheme="minorHAnsi"/>
              </w:rPr>
              <w:t xml:space="preserve"> x </w:t>
            </w:r>
            <w:r>
              <w:rPr>
                <w:rFonts w:asciiTheme="minorHAnsi" w:hAnsiTheme="minorHAnsi" w:cstheme="minorHAnsi"/>
              </w:rPr>
              <w:t>(</w:t>
            </w:r>
            <w:r w:rsidRPr="008338AA">
              <w:rPr>
                <w:rFonts w:asciiTheme="minorHAnsi" w:hAnsiTheme="minorHAnsi" w:cstheme="minorHAnsi"/>
              </w:rPr>
              <w:t xml:space="preserve">Aktiens genomsnittskurs </w:t>
            </w:r>
            <w:r w:rsidRPr="00680CC4">
              <w:rPr>
                <w:rFonts w:asciiTheme="minorHAnsi" w:hAnsiTheme="minorHAnsi" w:cstheme="minorHAnsi"/>
              </w:rPr>
              <w:t>minus teckningskursen för den nya Aktien)</w:t>
            </w:r>
          </w:p>
        </w:tc>
      </w:tr>
      <w:tr w:rsidR="00680CC4" w:rsidRPr="00807F80" w14:paraId="736174A6" w14:textId="77777777" w:rsidTr="00654484">
        <w:trPr>
          <w:trHeight w:hRule="exact" w:val="786"/>
        </w:trPr>
        <w:tc>
          <w:tcPr>
            <w:tcW w:w="1855" w:type="dxa"/>
            <w:vMerge/>
            <w:tcBorders>
              <w:left w:val="nil"/>
              <w:bottom w:val="nil"/>
              <w:right w:val="nil"/>
            </w:tcBorders>
          </w:tcPr>
          <w:p w14:paraId="24DC9AA4" w14:textId="77777777" w:rsidR="00680CC4" w:rsidRPr="00807F80" w:rsidRDefault="00680CC4" w:rsidP="00CF5818">
            <w:pPr>
              <w:spacing w:before="0"/>
              <w:jc w:val="both"/>
              <w:rPr>
                <w:rFonts w:asciiTheme="minorHAnsi" w:hAnsiTheme="minorHAnsi" w:cstheme="minorHAnsi"/>
              </w:rPr>
            </w:pPr>
          </w:p>
        </w:tc>
        <w:tc>
          <w:tcPr>
            <w:tcW w:w="895" w:type="dxa"/>
            <w:vMerge/>
            <w:tcBorders>
              <w:left w:val="nil"/>
              <w:bottom w:val="nil"/>
              <w:right w:val="nil"/>
            </w:tcBorders>
          </w:tcPr>
          <w:p w14:paraId="3E2542CC" w14:textId="77777777" w:rsidR="00680CC4" w:rsidRPr="00807F80" w:rsidRDefault="00680CC4" w:rsidP="00CF5818">
            <w:pPr>
              <w:spacing w:before="0"/>
              <w:jc w:val="both"/>
              <w:rPr>
                <w:rFonts w:asciiTheme="minorHAnsi" w:hAnsiTheme="minorHAnsi" w:cstheme="minorHAnsi"/>
              </w:rPr>
            </w:pPr>
          </w:p>
        </w:tc>
        <w:tc>
          <w:tcPr>
            <w:tcW w:w="5071" w:type="dxa"/>
            <w:tcBorders>
              <w:top w:val="single" w:sz="4" w:space="0" w:color="auto"/>
              <w:left w:val="nil"/>
              <w:bottom w:val="nil"/>
              <w:right w:val="nil"/>
            </w:tcBorders>
          </w:tcPr>
          <w:p w14:paraId="36804EF2" w14:textId="77777777" w:rsidR="00680CC4" w:rsidRPr="00807F80" w:rsidRDefault="00680CC4" w:rsidP="00CF5818">
            <w:pPr>
              <w:spacing w:before="0"/>
              <w:jc w:val="both"/>
              <w:rPr>
                <w:rFonts w:asciiTheme="minorHAnsi" w:hAnsiTheme="minorHAnsi" w:cstheme="minorHAnsi"/>
              </w:rPr>
            </w:pPr>
            <w:r w:rsidRPr="008338AA">
              <w:rPr>
                <w:rFonts w:asciiTheme="minorHAnsi" w:hAnsiTheme="minorHAnsi" w:cstheme="minorHAnsi"/>
              </w:rPr>
              <w:t xml:space="preserve">antalet Aktier före </w:t>
            </w:r>
            <w:proofErr w:type="spellStart"/>
            <w:r w:rsidRPr="008338AA">
              <w:rPr>
                <w:rFonts w:asciiTheme="minorHAnsi" w:hAnsiTheme="minorHAnsi" w:cstheme="minorHAnsi"/>
              </w:rPr>
              <w:t>emissionsbeslutet</w:t>
            </w:r>
            <w:proofErr w:type="spellEnd"/>
          </w:p>
        </w:tc>
      </w:tr>
    </w:tbl>
    <w:p w14:paraId="25304259" w14:textId="2CFFF07F" w:rsidR="00F265FE" w:rsidRDefault="00174ED5" w:rsidP="00CF5818">
      <w:pPr>
        <w:jc w:val="both"/>
      </w:pPr>
      <w:r>
        <w:t>Uppstår härvid ett negativt värde, ska det teoretiska värdet på teckningsrätten bestämmas till noll.</w:t>
      </w:r>
    </w:p>
    <w:p w14:paraId="476E07DB" w14:textId="77777777" w:rsidR="00F265FE" w:rsidRDefault="00ED5429" w:rsidP="00CF5818">
      <w:pPr>
        <w:jc w:val="both"/>
      </w:pPr>
      <w:r>
        <w:t>Den enligt</w:t>
      </w:r>
      <w:r w:rsidR="00174ED5">
        <w:t xml:space="preserve"> ovan omräknad</w:t>
      </w:r>
      <w:r>
        <w:t>e</w:t>
      </w:r>
      <w:r w:rsidR="00174ED5">
        <w:t xml:space="preserve"> </w:t>
      </w:r>
      <w:r w:rsidR="008338AA">
        <w:t>Konverteringskursen fastställs av Bolaget</w:t>
      </w:r>
      <w:r>
        <w:t>, genom styrelsen,</w:t>
      </w:r>
      <w:r w:rsidR="00174ED5">
        <w:t xml:space="preserve"> två Bankdagar efter teckningstidens utgång och tillämpas vid </w:t>
      </w:r>
      <w:r w:rsidR="008338AA">
        <w:t>Konvertering</w:t>
      </w:r>
      <w:r w:rsidR="00174ED5">
        <w:t xml:space="preserve"> som verkställs därefter.</w:t>
      </w:r>
    </w:p>
    <w:p w14:paraId="633026E3" w14:textId="77777777" w:rsidR="00F265FE" w:rsidRDefault="00174ED5" w:rsidP="00CF5818">
      <w:pPr>
        <w:jc w:val="both"/>
      </w:pPr>
      <w:r>
        <w:t xml:space="preserve">Under tiden till dess att omräknad </w:t>
      </w:r>
      <w:r w:rsidR="008338AA">
        <w:t xml:space="preserve">Konverteringskurs </w:t>
      </w:r>
      <w:r w:rsidR="00ED5429">
        <w:t>fastställ</w:t>
      </w:r>
      <w:r>
        <w:t xml:space="preserve">s, verkställs </w:t>
      </w:r>
      <w:r w:rsidR="008338AA">
        <w:t xml:space="preserve">Konvertering endast preliminärt, varvid helt </w:t>
      </w:r>
      <w:r>
        <w:t>antal Aktier</w:t>
      </w:r>
      <w:r w:rsidR="008338AA" w:rsidRPr="008338AA">
        <w:t xml:space="preserve"> enligt den ännu inte omräk</w:t>
      </w:r>
      <w:r w:rsidR="008338AA">
        <w:t xml:space="preserve">nade konverteringskursen </w:t>
      </w:r>
      <w:r>
        <w:t xml:space="preserve">upptas interimistiskt på Avstämningskonto. Dessutom noteras särskilt att varje </w:t>
      </w:r>
      <w:r w:rsidR="008338AA">
        <w:t xml:space="preserve">Konvertibel enligt den omräknade Konverteringskursen </w:t>
      </w:r>
      <w:r>
        <w:t>kan berättiga till ytterligare Aktier</w:t>
      </w:r>
      <w:r w:rsidR="008338AA">
        <w:t xml:space="preserve"> och/eller ett kontantbelopp enligt § 7</w:t>
      </w:r>
      <w:r>
        <w:t xml:space="preserve"> ovan. Slutlig registrering på Avstämningskontot sker sedan </w:t>
      </w:r>
      <w:r w:rsidR="008338AA">
        <w:t>den omräknade K</w:t>
      </w:r>
      <w:r w:rsidR="008338AA" w:rsidRPr="008338AA">
        <w:t>onverteringskursen fastställts</w:t>
      </w:r>
      <w:r w:rsidR="008338AA">
        <w:t>.</w:t>
      </w:r>
    </w:p>
    <w:p w14:paraId="4950B37F" w14:textId="77777777" w:rsidR="00F265FE" w:rsidRDefault="00174ED5" w:rsidP="00CF5818">
      <w:pPr>
        <w:pStyle w:val="Heading3"/>
        <w:jc w:val="both"/>
      </w:pPr>
      <w:r>
        <w:t>D. Emission av konvertibler eller teckningsoptioner</w:t>
      </w:r>
    </w:p>
    <w:p w14:paraId="3802F198" w14:textId="77777777" w:rsidR="00F265FE" w:rsidRDefault="00174ED5" w:rsidP="00CF5818">
      <w:pPr>
        <w:jc w:val="both"/>
      </w:pPr>
      <w:r>
        <w:t>Vid emission av konvertibler eller teckningsoptioner med företrädesrätt för aktieägarna</w:t>
      </w:r>
      <w:r w:rsidR="008338AA">
        <w:t xml:space="preserve"> </w:t>
      </w:r>
      <w:r>
        <w:t xml:space="preserve">har bestämmelserna i punkt C första stycket 1 och 2 om rätten att delta i nyemission </w:t>
      </w:r>
      <w:r w:rsidR="008338AA">
        <w:t xml:space="preserve">för aktie som utgivits vid Konvertering äga </w:t>
      </w:r>
      <w:r>
        <w:t>motsvarande tillämpning.</w:t>
      </w:r>
    </w:p>
    <w:p w14:paraId="63FB219E" w14:textId="77777777" w:rsidR="00F265FE" w:rsidRDefault="00174ED5" w:rsidP="00CF5818">
      <w:pPr>
        <w:jc w:val="both"/>
      </w:pPr>
      <w:r>
        <w:t xml:space="preserve">Vid </w:t>
      </w:r>
      <w:r w:rsidR="00680CC4">
        <w:t>Konvertering</w:t>
      </w:r>
      <w:r>
        <w:t xml:space="preserve"> som verkställs i sådan tid att rätt till deltagande i emissionen inte uppkommer tillämpas en omräknad </w:t>
      </w:r>
      <w:r w:rsidR="00680CC4">
        <w:t>Konverteringskurs.</w:t>
      </w:r>
    </w:p>
    <w:p w14:paraId="34459C97" w14:textId="77777777" w:rsidR="00F265FE" w:rsidRDefault="00174ED5" w:rsidP="007A64D1">
      <w:r>
        <w:t>Omräkningen utförs av Bolaget</w:t>
      </w:r>
      <w:r w:rsidR="00ED5429">
        <w:t>, genom styrelsen,</w:t>
      </w:r>
      <w:r>
        <w:t xml:space="preserve"> enligt följande formel:</w:t>
      </w:r>
      <w:r>
        <w:br/>
      </w:r>
    </w:p>
    <w:tbl>
      <w:tblPr>
        <w:tblW w:w="5052" w:type="pct"/>
        <w:tblCellSpacing w:w="7" w:type="dxa"/>
        <w:tblCellMar>
          <w:top w:w="15" w:type="dxa"/>
          <w:left w:w="15" w:type="dxa"/>
          <w:bottom w:w="15" w:type="dxa"/>
          <w:right w:w="15" w:type="dxa"/>
        </w:tblCellMar>
        <w:tblLook w:val="04A0" w:firstRow="1" w:lastRow="0" w:firstColumn="1" w:lastColumn="0" w:noHBand="0" w:noVBand="1"/>
      </w:tblPr>
      <w:tblGrid>
        <w:gridCol w:w="2155"/>
        <w:gridCol w:w="697"/>
        <w:gridCol w:w="5740"/>
      </w:tblGrid>
      <w:tr w:rsidR="00F265FE" w14:paraId="59B014CE" w14:textId="77777777" w:rsidTr="00680CC4">
        <w:trPr>
          <w:trHeight w:val="1266"/>
          <w:tblCellSpacing w:w="7" w:type="dxa"/>
        </w:trPr>
        <w:tc>
          <w:tcPr>
            <w:tcW w:w="1242" w:type="pct"/>
          </w:tcPr>
          <w:p w14:paraId="6D951FCC" w14:textId="77777777" w:rsidR="00680CC4" w:rsidRDefault="00680CC4" w:rsidP="00CF5818">
            <w:pPr>
              <w:jc w:val="both"/>
            </w:pPr>
          </w:p>
          <w:p w14:paraId="0CF1D83D" w14:textId="77777777" w:rsidR="00F265FE" w:rsidRDefault="00174ED5" w:rsidP="00CF5818">
            <w:pPr>
              <w:spacing w:before="0"/>
              <w:jc w:val="both"/>
            </w:pPr>
            <w:r>
              <w:t xml:space="preserve">omräknad </w:t>
            </w:r>
            <w:r w:rsidR="00680CC4">
              <w:t>Konverteringskurs</w:t>
            </w:r>
          </w:p>
        </w:tc>
        <w:tc>
          <w:tcPr>
            <w:tcW w:w="397" w:type="pct"/>
          </w:tcPr>
          <w:p w14:paraId="35014AD7" w14:textId="77777777" w:rsidR="00680CC4" w:rsidRDefault="00680CC4" w:rsidP="00CF5818">
            <w:pPr>
              <w:jc w:val="both"/>
            </w:pPr>
          </w:p>
          <w:p w14:paraId="0DA0FA2B" w14:textId="77777777" w:rsidR="00F265FE" w:rsidRDefault="00174ED5" w:rsidP="00CF5818">
            <w:pPr>
              <w:spacing w:before="0"/>
              <w:jc w:val="both"/>
            </w:pPr>
            <w:r>
              <w:t>=</w:t>
            </w:r>
          </w:p>
        </w:tc>
        <w:tc>
          <w:tcPr>
            <w:tcW w:w="3328" w:type="pct"/>
          </w:tcPr>
          <w:p w14:paraId="73A9F1D9" w14:textId="77777777" w:rsidR="00F265FE" w:rsidRDefault="00680CC4" w:rsidP="007A64D1">
            <w:pPr>
              <w:spacing w:before="0"/>
            </w:pPr>
            <w:r>
              <w:t>föregående Konvertering</w:t>
            </w:r>
            <w:r w:rsidR="00174ED5">
              <w:t xml:space="preserve">skurs x Aktiens genomsnittliga betalkurs under den i </w:t>
            </w:r>
            <w:proofErr w:type="spellStart"/>
            <w:r w:rsidR="00174ED5">
              <w:t>emissionsbeslutet</w:t>
            </w:r>
            <w:proofErr w:type="spellEnd"/>
            <w:r w:rsidR="00174ED5">
              <w:t xml:space="preserve"> fastställda teckningstiden (Aktiens genomsnittskurs)</w:t>
            </w:r>
            <w:r w:rsidR="00174ED5">
              <w:br/>
              <w:t>___________________________________________________</w:t>
            </w:r>
            <w:r w:rsidR="00174ED5">
              <w:br/>
              <w:t>Aktiens genomsnittskurs ökad med teckningsrättens värde</w:t>
            </w:r>
          </w:p>
        </w:tc>
      </w:tr>
    </w:tbl>
    <w:p w14:paraId="531B1028" w14:textId="77777777" w:rsidR="00F265FE" w:rsidRDefault="00174ED5" w:rsidP="00CF5818">
      <w:pPr>
        <w:jc w:val="both"/>
      </w:pPr>
      <w:r>
        <w:t>Aktiens genomsnittskurs beräknas i enlighet med punkt C ovan.</w:t>
      </w:r>
    </w:p>
    <w:p w14:paraId="5047A8E5" w14:textId="77777777" w:rsidR="00F265FE" w:rsidRDefault="00174ED5" w:rsidP="00CF5818">
      <w:pPr>
        <w:jc w:val="both"/>
      </w:pPr>
      <w:r>
        <w:t>Teckningsrättens värde ska anses motsvara det matematiskt framräknade värdet efter justering för nyemission och med beaktande av marknadsvärdet beräknat i enlighet med vad som anges i punkt C ovan.</w:t>
      </w:r>
    </w:p>
    <w:p w14:paraId="68273547" w14:textId="77777777" w:rsidR="00F265FE" w:rsidRDefault="00414184" w:rsidP="00CF5818">
      <w:pPr>
        <w:jc w:val="both"/>
      </w:pPr>
      <w:r>
        <w:t>Den enligt ovan omräknad Konverteringskursen</w:t>
      </w:r>
      <w:r w:rsidR="00174ED5">
        <w:t xml:space="preserve"> ska fastställas av Bolaget</w:t>
      </w:r>
      <w:r>
        <w:t>, genom styrelsen,</w:t>
      </w:r>
      <w:r w:rsidR="00174ED5">
        <w:t xml:space="preserve"> två Bankdagar efter teckningstidens utgång och tillämpas vid </w:t>
      </w:r>
      <w:r>
        <w:t>Konvertering</w:t>
      </w:r>
      <w:r w:rsidR="00174ED5">
        <w:t xml:space="preserve"> som verkställs därefter.</w:t>
      </w:r>
    </w:p>
    <w:p w14:paraId="4333C7B3" w14:textId="10BFE682" w:rsidR="00F265FE" w:rsidRDefault="00174ED5" w:rsidP="00CF5818">
      <w:pPr>
        <w:jc w:val="both"/>
      </w:pPr>
      <w:r>
        <w:t xml:space="preserve">Vid </w:t>
      </w:r>
      <w:r w:rsidR="00414184">
        <w:t>Konvertering</w:t>
      </w:r>
      <w:r>
        <w:t xml:space="preserve"> som </w:t>
      </w:r>
      <w:r w:rsidR="00414184">
        <w:t xml:space="preserve">verkställs under tiden </w:t>
      </w:r>
      <w:r>
        <w:t xml:space="preserve">fram till dess att omräknad </w:t>
      </w:r>
      <w:r w:rsidR="00D81486">
        <w:t>Konverteringskurs fastställt</w:t>
      </w:r>
      <w:r>
        <w:t xml:space="preserve"> ska bestämmelsen i punkt C sista stycket ovan äga motsvarande tillämpning.</w:t>
      </w:r>
    </w:p>
    <w:p w14:paraId="3480EEE0" w14:textId="77777777" w:rsidR="00F265FE" w:rsidRDefault="00174ED5" w:rsidP="00CF5818">
      <w:pPr>
        <w:pStyle w:val="Heading3"/>
        <w:jc w:val="both"/>
      </w:pPr>
      <w:r>
        <w:lastRenderedPageBreak/>
        <w:t>E. Erbjudande till aktieägarna i annat fall än som avses i punkt A-D</w:t>
      </w:r>
    </w:p>
    <w:p w14:paraId="5158E0D7" w14:textId="77777777" w:rsidR="00F265FE" w:rsidRDefault="00174ED5" w:rsidP="00CF5818">
      <w:pPr>
        <w:jc w:val="both"/>
      </w:pPr>
      <w:r>
        <w:t xml:space="preserve">Vid ett erbjudande till aktieägarna i annat fall än som avses i punkt A-D att av Bolaget förvärva värdepapper eller rättighet av något slag, ska vid </w:t>
      </w:r>
      <w:r w:rsidR="00414184">
        <w:t xml:space="preserve">Konvertering </w:t>
      </w:r>
      <w:r>
        <w:t xml:space="preserve">som påkallas på sådan tid, att därigenom erhållen Aktie inte medför rätt att delta i erbjudandet, tillämpas en omräknad </w:t>
      </w:r>
      <w:r w:rsidR="00414184">
        <w:t xml:space="preserve">Konverteringskurs. </w:t>
      </w:r>
      <w:r>
        <w:t>Detsamma gäller om Bolaget beslutar att enligt nämnda principer till aktieägarna dela ut värdepapper eller rättigheter utan vederlag.</w:t>
      </w:r>
    </w:p>
    <w:p w14:paraId="59B66D4C" w14:textId="77777777" w:rsidR="00F265FE" w:rsidRDefault="00174ED5" w:rsidP="00CF5818">
      <w:pPr>
        <w:jc w:val="both"/>
      </w:pPr>
      <w:r>
        <w:t>Omräkningarna ska utföras av Bolaget</w:t>
      </w:r>
      <w:r w:rsidR="00962E6A">
        <w:t>, genom styrelsen,</w:t>
      </w:r>
      <w:r>
        <w:t xml:space="preserve"> enligt följande formel:</w:t>
      </w:r>
      <w:r>
        <w:br/>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133"/>
        <w:gridCol w:w="690"/>
        <w:gridCol w:w="5681"/>
      </w:tblGrid>
      <w:tr w:rsidR="00F265FE" w14:paraId="68A57B73" w14:textId="77777777">
        <w:trPr>
          <w:tblCellSpacing w:w="7" w:type="dxa"/>
        </w:trPr>
        <w:tc>
          <w:tcPr>
            <w:tcW w:w="1250" w:type="pct"/>
          </w:tcPr>
          <w:p w14:paraId="468BEA9B" w14:textId="77777777" w:rsidR="00414184" w:rsidRDefault="00414184" w:rsidP="00CF5818">
            <w:pPr>
              <w:jc w:val="both"/>
            </w:pPr>
          </w:p>
          <w:p w14:paraId="00B408AA" w14:textId="77777777" w:rsidR="00F265FE" w:rsidRDefault="00174ED5" w:rsidP="00CF5818">
            <w:pPr>
              <w:jc w:val="both"/>
            </w:pPr>
            <w:r>
              <w:t xml:space="preserve">omräknad </w:t>
            </w:r>
            <w:r w:rsidR="008123C3">
              <w:t>Konverteringskurs</w:t>
            </w:r>
          </w:p>
        </w:tc>
        <w:tc>
          <w:tcPr>
            <w:tcW w:w="400" w:type="pct"/>
          </w:tcPr>
          <w:p w14:paraId="15BD18C2" w14:textId="77777777" w:rsidR="00414184" w:rsidRDefault="00414184" w:rsidP="00CF5818">
            <w:pPr>
              <w:jc w:val="both"/>
            </w:pPr>
          </w:p>
          <w:p w14:paraId="126B8A65" w14:textId="77777777" w:rsidR="00F265FE" w:rsidRDefault="00174ED5" w:rsidP="00CF5818">
            <w:pPr>
              <w:jc w:val="both"/>
            </w:pPr>
            <w:r>
              <w:t>=</w:t>
            </w:r>
          </w:p>
        </w:tc>
        <w:tc>
          <w:tcPr>
            <w:tcW w:w="3350" w:type="pct"/>
          </w:tcPr>
          <w:p w14:paraId="42A90159" w14:textId="77777777" w:rsidR="00F265FE" w:rsidRDefault="00174ED5" w:rsidP="007A64D1">
            <w:r>
              <w:t xml:space="preserve">föregående </w:t>
            </w:r>
            <w:r w:rsidR="00414184">
              <w:t>Konverteringskurs</w:t>
            </w:r>
            <w:r>
              <w:t xml:space="preserve"> x Aktiens genomsnittliga betalkurs under den i erbjudandet fastställda anmälningstiden (Aktiens genomsnittskurs)</w:t>
            </w:r>
            <w:r>
              <w:br/>
              <w:t>___________________________________________________</w:t>
            </w:r>
            <w:r>
              <w:br/>
              <w:t>Aktiens genomsnittskurs ökad med värdet av rätten till deltagande i erbjudandet (inköpsrättens värde)</w:t>
            </w:r>
          </w:p>
        </w:tc>
      </w:tr>
    </w:tbl>
    <w:p w14:paraId="2F7DD148" w14:textId="77777777" w:rsidR="00F265FE" w:rsidRDefault="00174ED5" w:rsidP="00CF5818">
      <w:pPr>
        <w:jc w:val="both"/>
      </w:pPr>
      <w:r>
        <w:t>Aktiens genomsnittskurs beräknas i enlighet med punkt C ovan.</w:t>
      </w:r>
    </w:p>
    <w:p w14:paraId="08D27D38" w14:textId="54BBF36B" w:rsidR="00414184" w:rsidRPr="006D54FA" w:rsidRDefault="00414184" w:rsidP="00CF5818">
      <w:pPr>
        <w:jc w:val="both"/>
      </w:pPr>
      <w:r w:rsidRPr="006D54FA">
        <w:t xml:space="preserve">Inköpsrättens värde </w:t>
      </w:r>
      <w:r w:rsidR="00236D42" w:rsidRPr="006D54FA">
        <w:t>ska</w:t>
      </w:r>
      <w:r w:rsidRPr="006D54FA">
        <w:t xml:space="preserve"> härvid anses motsvara genomsnittet av det för varje handelsdag under teckningstiden framräknade medeltalet av den under dagen noterade högsta och lägsta betalkursen enligt Nasdaq Stockholms officiella kurslista. I avsaknad av notering av betalkurs ska i stället den som slutkurs noterade köpkursen ingå i beräkningen. Dag utan notering av vare sig betalkurs eller köpkurs ska inte ingå i beräkningen.</w:t>
      </w:r>
    </w:p>
    <w:p w14:paraId="0E1A7A74" w14:textId="18050359" w:rsidR="00F265FE" w:rsidRDefault="008123C3" w:rsidP="00CF5818">
      <w:pPr>
        <w:jc w:val="both"/>
      </w:pPr>
      <w:r w:rsidRPr="006D54FA">
        <w:t xml:space="preserve">Om notering sker av de värdepapper eller rättigheter som erbjuds aktieägarna, </w:t>
      </w:r>
      <w:r w:rsidR="00236D42" w:rsidRPr="006D54FA">
        <w:t>ska</w:t>
      </w:r>
      <w:r w:rsidRPr="006D54FA">
        <w:t xml:space="preserve"> värdet av rätten till deltagande i erbjudandet anses motsvara genomsnittet av det för varje </w:t>
      </w:r>
      <w:r w:rsidR="006D54FA">
        <w:t>handelsdag</w:t>
      </w:r>
      <w:r w:rsidRPr="006D54FA">
        <w:t xml:space="preserve"> under 25 </w:t>
      </w:r>
      <w:r w:rsidR="006D54FA">
        <w:t>handelsdag</w:t>
      </w:r>
      <w:r w:rsidR="006D54FA" w:rsidRPr="006D54FA">
        <w:t xml:space="preserve"> </w:t>
      </w:r>
      <w:r w:rsidRPr="006D54FA">
        <w:t xml:space="preserve">från och med första dag för notering framräknade medeltalet av den under dagen noterade högsta och lägsta betalkursen vid affärer i dessa värdepapper eller rättigheter vid Nasdaq Stockholm, i förekommande fall minskat med det vederlag som betalats för dessa i samband med erbjudandet. I avsaknad av notering av betalkurs </w:t>
      </w:r>
      <w:r w:rsidR="00236D42" w:rsidRPr="006D54FA">
        <w:t>ska</w:t>
      </w:r>
      <w:r w:rsidRPr="006D54FA">
        <w:t xml:space="preserve"> i stället den som slutkurs noterade köpkursen ingå i beräkningen. </w:t>
      </w:r>
      <w:r w:rsidR="006D54FA" w:rsidRPr="006D54FA">
        <w:t>Dag utan notering av vare sig betalkurs eller köpkurs ska inte ingå i beräkningen.</w:t>
      </w:r>
      <w:r w:rsidRPr="006D54FA">
        <w:t xml:space="preserve"> Den i erbjudandet fastställda anmälningstiden </w:t>
      </w:r>
      <w:r w:rsidR="00236D42" w:rsidRPr="006D54FA">
        <w:t>ska</w:t>
      </w:r>
      <w:r w:rsidRPr="006D54FA">
        <w:t xml:space="preserve"> vid omräkning av Konverteringskursen enligt detta stycke anses motsvara den ovan i detta stycke nämnda perioden om 25 </w:t>
      </w:r>
      <w:r w:rsidR="006D54FA">
        <w:t>handelsdagar. Om sådan notering inte</w:t>
      </w:r>
      <w:r w:rsidRPr="006D54FA">
        <w:t xml:space="preserve"> äger rum </w:t>
      </w:r>
      <w:r w:rsidR="00236D42" w:rsidRPr="006D54FA">
        <w:t>ska</w:t>
      </w:r>
      <w:r w:rsidRPr="006D54FA">
        <w:t xml:space="preserve"> värdet av rätten till deltagande i erbjudandet så långt möjligt fastställas med ledning av den marknadsvärdesförändring avseende Bolagets aktier som kan bedömas ha uppkommit till följd av erbjudandet.</w:t>
      </w:r>
    </w:p>
    <w:p w14:paraId="28D874F5" w14:textId="77777777" w:rsidR="00F265FE" w:rsidRDefault="00174ED5" w:rsidP="00CF5818">
      <w:pPr>
        <w:jc w:val="both"/>
      </w:pPr>
      <w:r>
        <w:t xml:space="preserve">Den omräknade </w:t>
      </w:r>
      <w:r w:rsidR="008123C3">
        <w:t>Konverteringskursen</w:t>
      </w:r>
      <w:r>
        <w:t xml:space="preserve"> fastställs av Bolaget</w:t>
      </w:r>
      <w:r w:rsidR="008123C3">
        <w:t>, genom styrelsen,</w:t>
      </w:r>
      <w:r>
        <w:t xml:space="preserve"> snarast möjligt efter erbjudandetidens utgång och tillämpas vid </w:t>
      </w:r>
      <w:r w:rsidR="008123C3">
        <w:t>Konvertering</w:t>
      </w:r>
      <w:r>
        <w:t xml:space="preserve"> som verkställs sedan den omräknade kursen fastställts.</w:t>
      </w:r>
    </w:p>
    <w:p w14:paraId="130B930E" w14:textId="77777777" w:rsidR="00F265FE" w:rsidRDefault="00174ED5" w:rsidP="00CF5818">
      <w:pPr>
        <w:jc w:val="both"/>
      </w:pPr>
      <w:r>
        <w:t xml:space="preserve">Vid </w:t>
      </w:r>
      <w:r w:rsidR="008123C3">
        <w:t xml:space="preserve">Konvertering som verkställs under tiden </w:t>
      </w:r>
      <w:r>
        <w:t xml:space="preserve">fram till dess att omräknad </w:t>
      </w:r>
      <w:r w:rsidR="008123C3">
        <w:t xml:space="preserve">Konverteringskurs </w:t>
      </w:r>
      <w:r>
        <w:t>fastställts, ska bestämmelsen i punkt C sista stycket ovan äga motsvarande tillämpning.</w:t>
      </w:r>
    </w:p>
    <w:p w14:paraId="3E152E78" w14:textId="41E66416" w:rsidR="00F265FE" w:rsidRDefault="00174ED5" w:rsidP="00CF5818">
      <w:pPr>
        <w:pStyle w:val="Heading3"/>
        <w:jc w:val="both"/>
      </w:pPr>
      <w:r>
        <w:t xml:space="preserve">F. </w:t>
      </w:r>
      <w:r w:rsidR="00962E6A">
        <w:t xml:space="preserve">Företrädesrätt för </w:t>
      </w:r>
      <w:r w:rsidR="00D1075B">
        <w:t>Konvertibeli</w:t>
      </w:r>
      <w:r w:rsidR="00962E6A">
        <w:t>nnehavare vid emissioner</w:t>
      </w:r>
    </w:p>
    <w:p w14:paraId="4DA475C7" w14:textId="77777777" w:rsidR="00F265FE" w:rsidRDefault="00174ED5" w:rsidP="00CF5818">
      <w:pPr>
        <w:jc w:val="both"/>
      </w:pPr>
      <w:r>
        <w:t xml:space="preserve">Vid nyemission av aktier eller emission av konvertibler eller teckningsoptioner med företrädesrätt för aktieägarna får Bolaget besluta att ge samtliga </w:t>
      </w:r>
      <w:r w:rsidR="008123C3">
        <w:t>Konvertibelinnehavare</w:t>
      </w:r>
      <w:r>
        <w:t xml:space="preserve"> samma </w:t>
      </w:r>
      <w:r>
        <w:lastRenderedPageBreak/>
        <w:t xml:space="preserve">företrädesrätt som enligt beslutet tillkommer aktieägarna. Därvid ska varje </w:t>
      </w:r>
      <w:r w:rsidR="008123C3">
        <w:t>Konvertibelinnehavare</w:t>
      </w:r>
      <w:r>
        <w:t xml:space="preserve">, utan hinder av att </w:t>
      </w:r>
      <w:r w:rsidR="008123C3">
        <w:t>Konvertering</w:t>
      </w:r>
      <w:r>
        <w:t xml:space="preserve"> på grund av </w:t>
      </w:r>
      <w:r w:rsidR="008123C3">
        <w:t>Konvertering</w:t>
      </w:r>
      <w:r>
        <w:t xml:space="preserve"> inte har verkställts, anses vara ägare till det antal Aktier som </w:t>
      </w:r>
      <w:r w:rsidR="008123C3">
        <w:t xml:space="preserve">Konvertibelinnehavare </w:t>
      </w:r>
      <w:r>
        <w:t xml:space="preserve">skulle ha erhållit, om </w:t>
      </w:r>
      <w:r w:rsidR="008123C3">
        <w:t xml:space="preserve">Konvertering </w:t>
      </w:r>
      <w:r>
        <w:t xml:space="preserve">verkställts efter den </w:t>
      </w:r>
      <w:r w:rsidR="008123C3">
        <w:t>Konverteringskurs</w:t>
      </w:r>
      <w:r>
        <w:t xml:space="preserve"> som gällde vid tidpunkten för beslutet om emission.</w:t>
      </w:r>
      <w:r w:rsidR="008123C3" w:rsidRPr="008123C3">
        <w:t xml:space="preserve"> Den omständigheten att </w:t>
      </w:r>
      <w:r w:rsidR="008123C3">
        <w:t xml:space="preserve">Konvertibelinnehavare </w:t>
      </w:r>
      <w:r w:rsidR="008123C3" w:rsidRPr="008123C3">
        <w:t xml:space="preserve">dessutom skulle ha kunnat erhålla ett kontant </w:t>
      </w:r>
      <w:r w:rsidR="008123C3">
        <w:t xml:space="preserve">belopp enligt § 7 ovan ska inte </w:t>
      </w:r>
      <w:r w:rsidR="008123C3" w:rsidRPr="008123C3">
        <w:t>medföra någon rätt såvitt nu är i fråga.</w:t>
      </w:r>
    </w:p>
    <w:p w14:paraId="3947385F" w14:textId="7407C36B" w:rsidR="00F265FE" w:rsidRDefault="00174ED5" w:rsidP="00CF5818">
      <w:pPr>
        <w:jc w:val="both"/>
      </w:pPr>
      <w:r>
        <w:t xml:space="preserve">Vid ett sådant riktat erbjudande till aktieägarna som avses i punkt E ovan, ska föregående stycke ha motsvarande tillämpning. Det antal Aktier som </w:t>
      </w:r>
      <w:r w:rsidR="00D1075B">
        <w:t xml:space="preserve">Konvertibelinnehavaren </w:t>
      </w:r>
      <w:r>
        <w:t xml:space="preserve">ska anses vara ägare till ska därvid fastställas efter den </w:t>
      </w:r>
      <w:r w:rsidR="008123C3">
        <w:t>Konverteringskurs</w:t>
      </w:r>
      <w:r>
        <w:t xml:space="preserve"> som gällde vid tidpunkten för beslutet om erbjudande.</w:t>
      </w:r>
    </w:p>
    <w:p w14:paraId="7C4A6F9F" w14:textId="77777777" w:rsidR="00F265FE" w:rsidRDefault="00174ED5" w:rsidP="00CF5818">
      <w:pPr>
        <w:jc w:val="both"/>
      </w:pPr>
      <w:r>
        <w:t xml:space="preserve">Om Bolaget skulle besluta att ge </w:t>
      </w:r>
      <w:r w:rsidR="008123C3">
        <w:t xml:space="preserve">Konvertibelinnehavare </w:t>
      </w:r>
      <w:r>
        <w:t xml:space="preserve">företrädesrätt i enlighet med bestämmelserna i punkt F, ska någon omräkning enligt punkt C, D eller E av </w:t>
      </w:r>
      <w:r w:rsidR="008123C3">
        <w:t>Konverteringskursen</w:t>
      </w:r>
      <w:r>
        <w:t xml:space="preserve"> inte äga rum.</w:t>
      </w:r>
    </w:p>
    <w:p w14:paraId="4EA9222B" w14:textId="77777777" w:rsidR="00F265FE" w:rsidRDefault="00174ED5" w:rsidP="00CF5818">
      <w:pPr>
        <w:pStyle w:val="Heading3"/>
        <w:jc w:val="both"/>
      </w:pPr>
      <w:r>
        <w:t>G. Kontant utdelning till aktieägarna</w:t>
      </w:r>
    </w:p>
    <w:p w14:paraId="4990ABC1" w14:textId="19B590C1" w:rsidR="00F265FE" w:rsidRDefault="00174ED5" w:rsidP="00CF5818">
      <w:pPr>
        <w:jc w:val="both"/>
      </w:pPr>
      <w:r>
        <w:t xml:space="preserve">Vid kontant utdelning till aktieägarna, som innebär att dessa erhåller </w:t>
      </w:r>
      <w:r w:rsidRPr="00BB7A32">
        <w:t>utdelning som tillsammans med andra under samma räkenskapsår utbetalda utdelningar överstiger</w:t>
      </w:r>
      <w:r w:rsidR="00962E6A" w:rsidRPr="00BB7A32">
        <w:t xml:space="preserve"> högst</w:t>
      </w:r>
      <w:r w:rsidRPr="00BB7A32">
        <w:t xml:space="preserve"> </w:t>
      </w:r>
      <w:r w:rsidR="00CF5818">
        <w:t xml:space="preserve">15 </w:t>
      </w:r>
      <w:r w:rsidRPr="00BB7A32">
        <w:t xml:space="preserve">procent av de befintliga Aktiernas genomsnittskurs under en period om 25 handelsdagar närmast före den dag då styrelsen för Bolaget offentliggör sin avsikt att till bolagsstämman lämna förslag om sådan utdelning, ska vid </w:t>
      </w:r>
      <w:r w:rsidR="008123C3">
        <w:t>Konvertering</w:t>
      </w:r>
      <w:r w:rsidRPr="00BB7A32">
        <w:t xml:space="preserve"> som påkallas på sådan tid att Aktie som erhålls när </w:t>
      </w:r>
      <w:r w:rsidR="008123C3">
        <w:t>Konvertering</w:t>
      </w:r>
      <w:r w:rsidRPr="00BB7A32">
        <w:t xml:space="preserve"> verkställs inte medför rätt till utdelningen tillämpas en omräknad </w:t>
      </w:r>
      <w:r w:rsidR="008123C3">
        <w:t>Konverteringskurs</w:t>
      </w:r>
      <w:r w:rsidRPr="00BB7A32">
        <w:t xml:space="preserve">. Omräkningen ska baseras på den del av den sammanlagda utdelningen som överstiger </w:t>
      </w:r>
      <w:r w:rsidR="00CF5818">
        <w:t xml:space="preserve">15 </w:t>
      </w:r>
      <w:r w:rsidRPr="00BB7A32">
        <w:t>procent av Aktiernas genomsnittskurs under ovan nämnd period (extraordinär utdelning</w:t>
      </w:r>
      <w:r>
        <w:t>).</w:t>
      </w:r>
    </w:p>
    <w:p w14:paraId="4E19E6AD" w14:textId="77777777" w:rsidR="00F265FE" w:rsidRDefault="00174ED5" w:rsidP="00CF5818">
      <w:pPr>
        <w:jc w:val="both"/>
      </w:pPr>
      <w:r>
        <w:t>Omräkningen utförs av Bolaget</w:t>
      </w:r>
      <w:r w:rsidR="00A54FDC">
        <w:t>, genom styrelsen,</w:t>
      </w:r>
      <w:r>
        <w:t xml:space="preserve"> enligt följande formel:</w:t>
      </w:r>
      <w:r>
        <w:br/>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133"/>
        <w:gridCol w:w="690"/>
        <w:gridCol w:w="5681"/>
      </w:tblGrid>
      <w:tr w:rsidR="00F265FE" w14:paraId="0C1FCAA8" w14:textId="77777777">
        <w:trPr>
          <w:tblCellSpacing w:w="7" w:type="dxa"/>
        </w:trPr>
        <w:tc>
          <w:tcPr>
            <w:tcW w:w="1250" w:type="pct"/>
          </w:tcPr>
          <w:p w14:paraId="52B35356" w14:textId="77777777" w:rsidR="008123C3" w:rsidRDefault="008123C3" w:rsidP="00CF5818">
            <w:pPr>
              <w:jc w:val="both"/>
            </w:pPr>
          </w:p>
          <w:p w14:paraId="4490F7F0" w14:textId="77777777" w:rsidR="00F265FE" w:rsidRDefault="00174ED5" w:rsidP="00CF5818">
            <w:pPr>
              <w:jc w:val="both"/>
            </w:pPr>
            <w:r>
              <w:t xml:space="preserve">omräknad </w:t>
            </w:r>
            <w:r w:rsidR="008123C3">
              <w:t>Konverteringskurs</w:t>
            </w:r>
          </w:p>
        </w:tc>
        <w:tc>
          <w:tcPr>
            <w:tcW w:w="400" w:type="pct"/>
          </w:tcPr>
          <w:p w14:paraId="08848908" w14:textId="77777777" w:rsidR="008123C3" w:rsidRDefault="008123C3" w:rsidP="007A64D1"/>
          <w:p w14:paraId="5F89BF63" w14:textId="77777777" w:rsidR="00F265FE" w:rsidRDefault="00174ED5" w:rsidP="007A64D1">
            <w:r>
              <w:t>=</w:t>
            </w:r>
          </w:p>
          <w:p w14:paraId="42801DBE" w14:textId="77777777" w:rsidR="008123C3" w:rsidRDefault="008123C3" w:rsidP="007A64D1"/>
        </w:tc>
        <w:tc>
          <w:tcPr>
            <w:tcW w:w="3350" w:type="pct"/>
          </w:tcPr>
          <w:p w14:paraId="4801E7A0" w14:textId="77777777" w:rsidR="00F265FE" w:rsidRDefault="00174ED5" w:rsidP="007A64D1">
            <w:r>
              <w:t xml:space="preserve">föregående </w:t>
            </w:r>
            <w:r w:rsidR="008123C3">
              <w:t>Konverteringskurs</w:t>
            </w:r>
            <w:r>
              <w:t xml:space="preserve"> x Aktiens genomsnittliga betalkurs under en period om 25 handelsdagar räknat fr.o.m. den dag då Aktien noteras utan rätt till extraordinär utdelning (Aktiens genomsnittskurs)</w:t>
            </w:r>
            <w:r>
              <w:br/>
              <w:t>___________________________________________________</w:t>
            </w:r>
            <w:r>
              <w:br/>
              <w:t>Aktiens genomsnittskurs ökad med den extraordinära utdelning som utbetalas per Aktie</w:t>
            </w:r>
          </w:p>
        </w:tc>
      </w:tr>
    </w:tbl>
    <w:p w14:paraId="3AAE473A" w14:textId="77777777" w:rsidR="00F265FE" w:rsidRDefault="00174ED5" w:rsidP="00CF5818">
      <w:pPr>
        <w:jc w:val="both"/>
      </w:pPr>
      <w:r>
        <w:t>Aktiens genomsnittskurs beräknas i enlighet med punkt C ovan.</w:t>
      </w:r>
    </w:p>
    <w:p w14:paraId="5C864E65" w14:textId="77777777" w:rsidR="00D81486" w:rsidRDefault="00D81486" w:rsidP="00CF5818">
      <w:pPr>
        <w:jc w:val="both"/>
      </w:pPr>
      <w:r>
        <w:t>Den enligt ovan omräknad Konverteringskursen ska fastställas av Bolaget, genom styrelsen, två Bankdagar efter teckningstidens utgång och tillämpas vid Konvertering som verkställs därefter.</w:t>
      </w:r>
    </w:p>
    <w:p w14:paraId="5C12CE0E" w14:textId="1F3BF0B5" w:rsidR="00412DE3" w:rsidRPr="00412DE3" w:rsidRDefault="00D1075B" w:rsidP="00CF5818">
      <w:pPr>
        <w:jc w:val="both"/>
      </w:pPr>
      <w:r>
        <w:t>Har K</w:t>
      </w:r>
      <w:r w:rsidR="00412DE3" w:rsidRPr="00412DE3">
        <w:t>onvertering påkallats men, p.g.a. bestämmelserna i § 7 ovan, slutli</w:t>
      </w:r>
      <w:r w:rsidR="00412DE3">
        <w:t xml:space="preserve">g registrering på Avstämningskonto inte </w:t>
      </w:r>
      <w:r w:rsidR="00412DE3" w:rsidRPr="00412DE3">
        <w:t>ske</w:t>
      </w:r>
      <w:r>
        <w:t xml:space="preserve">tt, </w:t>
      </w:r>
      <w:r w:rsidR="00236D42">
        <w:t>ska</w:t>
      </w:r>
      <w:r>
        <w:t xml:space="preserve"> särskilt noteras att K</w:t>
      </w:r>
      <w:r w:rsidR="00412DE3" w:rsidRPr="00412DE3">
        <w:t xml:space="preserve">onvertibeln enligt den omräknade </w:t>
      </w:r>
      <w:r w:rsidR="00412DE3">
        <w:t>K</w:t>
      </w:r>
      <w:r w:rsidR="00412DE3" w:rsidRPr="00412DE3">
        <w:t xml:space="preserve">onverteringskursen kan berättiga till ytterligare aktier och/eller ett kontantbelopp enligt § 7 första stycket ovan. Slutlig registrering på </w:t>
      </w:r>
      <w:r w:rsidR="00412DE3">
        <w:t>Avstämningskonto</w:t>
      </w:r>
      <w:r w:rsidR="00412DE3" w:rsidRPr="00412DE3">
        <w:t xml:space="preserve"> sker sedan den omräknade konverteringskursen fastställts, dock tidigast vid den tidpunkt som anges i § 7 ovan</w:t>
      </w:r>
      <w:r w:rsidR="00412DE3">
        <w:t>.</w:t>
      </w:r>
    </w:p>
    <w:p w14:paraId="5877D4EA" w14:textId="77777777" w:rsidR="00F265FE" w:rsidRDefault="00174ED5" w:rsidP="00CF5818">
      <w:pPr>
        <w:pStyle w:val="Heading3"/>
        <w:jc w:val="both"/>
      </w:pPr>
      <w:r>
        <w:lastRenderedPageBreak/>
        <w:t>H. Minskning av aktiekapitalet med återbetalning till aktieägarna</w:t>
      </w:r>
    </w:p>
    <w:p w14:paraId="082FE915" w14:textId="2751E285" w:rsidR="00F265FE" w:rsidRDefault="00174ED5" w:rsidP="00CF5818">
      <w:pPr>
        <w:jc w:val="both"/>
      </w:pPr>
      <w:r>
        <w:t xml:space="preserve">Vid minskning av aktiekapitalet med återbetalning till aktieägarna, tillämpas en omräknad </w:t>
      </w:r>
      <w:r w:rsidR="00D81486">
        <w:t>Konverteringskurs.</w:t>
      </w:r>
    </w:p>
    <w:p w14:paraId="310D7677" w14:textId="3C350100" w:rsidR="00F265FE" w:rsidRDefault="00174ED5" w:rsidP="00CF5818">
      <w:pPr>
        <w:jc w:val="both"/>
      </w:pPr>
      <w:r>
        <w:t>Omräkningen utförs av Bolaget</w:t>
      </w:r>
      <w:r w:rsidR="00A54FDC">
        <w:t xml:space="preserve">, genom styrelsen, </w:t>
      </w:r>
      <w:r>
        <w:t>enligt följande formel:</w:t>
      </w:r>
      <w:r>
        <w:br/>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133"/>
        <w:gridCol w:w="690"/>
        <w:gridCol w:w="5681"/>
      </w:tblGrid>
      <w:tr w:rsidR="00F265FE" w14:paraId="4EE2300C" w14:textId="77777777">
        <w:trPr>
          <w:tblCellSpacing w:w="7" w:type="dxa"/>
        </w:trPr>
        <w:tc>
          <w:tcPr>
            <w:tcW w:w="1250" w:type="pct"/>
          </w:tcPr>
          <w:p w14:paraId="0942BC8D" w14:textId="77777777" w:rsidR="00D81486" w:rsidRDefault="00D81486" w:rsidP="00CF5818">
            <w:pPr>
              <w:jc w:val="both"/>
            </w:pPr>
          </w:p>
          <w:p w14:paraId="6C8670AB" w14:textId="39F45FE2" w:rsidR="00F265FE" w:rsidRDefault="00174ED5" w:rsidP="00CF5818">
            <w:pPr>
              <w:jc w:val="both"/>
            </w:pPr>
            <w:r>
              <w:t xml:space="preserve">omräknad </w:t>
            </w:r>
            <w:r w:rsidR="00654484">
              <w:t>Konverteringskurs</w:t>
            </w:r>
          </w:p>
        </w:tc>
        <w:tc>
          <w:tcPr>
            <w:tcW w:w="400" w:type="pct"/>
          </w:tcPr>
          <w:p w14:paraId="7AE0449F" w14:textId="77777777" w:rsidR="00D81486" w:rsidRDefault="00D81486" w:rsidP="00CF5818">
            <w:pPr>
              <w:jc w:val="both"/>
            </w:pPr>
          </w:p>
          <w:p w14:paraId="7C9D4E39" w14:textId="23547A30" w:rsidR="00F265FE" w:rsidRDefault="00174ED5" w:rsidP="00CF5818">
            <w:pPr>
              <w:jc w:val="both"/>
            </w:pPr>
            <w:r>
              <w:t>=</w:t>
            </w:r>
          </w:p>
        </w:tc>
        <w:tc>
          <w:tcPr>
            <w:tcW w:w="3350" w:type="pct"/>
          </w:tcPr>
          <w:p w14:paraId="39CED585" w14:textId="6DC14341" w:rsidR="00F265FE" w:rsidRDefault="00174ED5" w:rsidP="00CF5818">
            <w:pPr>
              <w:jc w:val="both"/>
            </w:pPr>
            <w:r>
              <w:t xml:space="preserve">föregående </w:t>
            </w:r>
            <w:r w:rsidR="00D81486">
              <w:t>Konverteringskurs</w:t>
            </w:r>
            <w:r>
              <w:t xml:space="preserve"> x Aktiens genomsnittliga betalkurs under en period om 25 handelsdagar räknat fr.o.m. den dag då Aktien noteras utan rätt till återbetalning (Aktiens genomsnittskurs)</w:t>
            </w:r>
            <w:r>
              <w:br/>
              <w:t>___________________________________________________</w:t>
            </w:r>
            <w:r>
              <w:br/>
              <w:t>Aktiens genomsnittskurs ökad med det belopp som återbetalas per Aktie</w:t>
            </w:r>
          </w:p>
        </w:tc>
      </w:tr>
    </w:tbl>
    <w:p w14:paraId="1E969B5D" w14:textId="760D8D9F" w:rsidR="00F265FE" w:rsidRDefault="00174ED5" w:rsidP="00CF5818">
      <w:pPr>
        <w:jc w:val="both"/>
      </w:pPr>
      <w:r>
        <w:t>Aktiens genomsnittskurs beräknas i enlighet med punkt C ovan.</w:t>
      </w:r>
    </w:p>
    <w:p w14:paraId="12D30A9E" w14:textId="77777777" w:rsidR="00F265FE" w:rsidRDefault="00174ED5" w:rsidP="00CF5818">
      <w:pPr>
        <w:jc w:val="both"/>
      </w:pPr>
      <w:r>
        <w:t>Vid omräkning enligt ovan och där minskningen sker genom inlösen av Aktier ska i stället för det faktiska belopp som återbetalas per Aktie ett beräknat återbetalningsbelopp användas enligt följande:</w:t>
      </w:r>
      <w:r>
        <w:br/>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133"/>
        <w:gridCol w:w="690"/>
        <w:gridCol w:w="5681"/>
      </w:tblGrid>
      <w:tr w:rsidR="00F265FE" w14:paraId="7A167751" w14:textId="77777777">
        <w:trPr>
          <w:tblCellSpacing w:w="7" w:type="dxa"/>
        </w:trPr>
        <w:tc>
          <w:tcPr>
            <w:tcW w:w="1250" w:type="pct"/>
          </w:tcPr>
          <w:p w14:paraId="2BCC693E" w14:textId="77777777" w:rsidR="00D81486" w:rsidRDefault="00D81486" w:rsidP="00CF5818">
            <w:pPr>
              <w:jc w:val="both"/>
            </w:pPr>
          </w:p>
          <w:p w14:paraId="454AFBFB" w14:textId="7DB1DF31" w:rsidR="00F265FE" w:rsidRDefault="00174ED5" w:rsidP="00CF5818">
            <w:pPr>
              <w:jc w:val="both"/>
            </w:pPr>
            <w:r>
              <w:t>beräknat återbetalningsbelopp per Aktie</w:t>
            </w:r>
          </w:p>
        </w:tc>
        <w:tc>
          <w:tcPr>
            <w:tcW w:w="400" w:type="pct"/>
          </w:tcPr>
          <w:p w14:paraId="2F845696" w14:textId="77777777" w:rsidR="00D81486" w:rsidRDefault="00D81486" w:rsidP="00CF5818">
            <w:pPr>
              <w:jc w:val="both"/>
            </w:pPr>
          </w:p>
          <w:p w14:paraId="68B1A8F1" w14:textId="2ED153B0" w:rsidR="00F265FE" w:rsidRDefault="00174ED5" w:rsidP="00CF5818">
            <w:pPr>
              <w:jc w:val="both"/>
            </w:pPr>
            <w:r>
              <w:t>=</w:t>
            </w:r>
          </w:p>
        </w:tc>
        <w:tc>
          <w:tcPr>
            <w:tcW w:w="3350" w:type="pct"/>
          </w:tcPr>
          <w:p w14:paraId="02AB20D0" w14:textId="77777777" w:rsidR="00F265FE" w:rsidRDefault="00174ED5" w:rsidP="00CF5818">
            <w:pPr>
              <w:jc w:val="both"/>
            </w:pPr>
            <w:r>
              <w:t>det faktiska belopp som återbetalas per inlöst Aktie minskat med Aktiens genomsnittliga betalkurs under en period om 25 handelsdagar närmast före den dag då Aktien noteras utan rätt till deltagande i nedsättningen (Aktiens genomsnittskurs)</w:t>
            </w:r>
            <w:r>
              <w:br/>
              <w:t>___________________________________________________</w:t>
            </w:r>
            <w:r>
              <w:br/>
              <w:t>det antal Aktier i Bolaget som ligger till grund för inlösen av en Aktie minskat med talet 1</w:t>
            </w:r>
          </w:p>
        </w:tc>
      </w:tr>
    </w:tbl>
    <w:p w14:paraId="4AEC61A1" w14:textId="77777777" w:rsidR="00F265FE" w:rsidRDefault="00174ED5" w:rsidP="00CF5818">
      <w:pPr>
        <w:jc w:val="both"/>
      </w:pPr>
      <w:r>
        <w:t>Aktiens genomsnittskurs beräknas i enlighet med punkt C ovan.</w:t>
      </w:r>
    </w:p>
    <w:p w14:paraId="5EB06DB1" w14:textId="77777777" w:rsidR="00D81486" w:rsidRDefault="00D81486" w:rsidP="00CF5818">
      <w:pPr>
        <w:jc w:val="both"/>
      </w:pPr>
      <w:r>
        <w:t>Den enligt ovan omräknad Konverteringskursen ska fastställas av Bolaget, genom styrelsen, två Bankdagar efter teckningstidens utgång och tillämpas vid Konvertering som verkställs därefter.</w:t>
      </w:r>
    </w:p>
    <w:p w14:paraId="5DCE70BC" w14:textId="77777777" w:rsidR="00D81486" w:rsidRDefault="00D81486" w:rsidP="00CF5818">
      <w:pPr>
        <w:jc w:val="both"/>
      </w:pPr>
      <w:r>
        <w:t>Vid Konvertering som verkställs under tiden fram till dess att omräknad Konverteringskurs fastställts, ska bestämmelsen i punkt C sista stycket ovan äga motsvarande tillämpning.</w:t>
      </w:r>
    </w:p>
    <w:p w14:paraId="43C9614A" w14:textId="00C50D0B" w:rsidR="00F265FE" w:rsidRDefault="00174ED5" w:rsidP="00CF5818">
      <w:pPr>
        <w:jc w:val="both"/>
      </w:pPr>
      <w:r>
        <w:t xml:space="preserve">Om Bolagets aktiekapital skulle minskas genom inlösen av Aktier med återbetalning till aktieägarna, vilken minskning inte är obligatorisk, eller om Bolaget – utan att fråga är om minskning av aktiekapital – skulle genomföra återköp av egna Aktier men där, enligt Bolagets bedömning, åtgärden med hänsyn till dess tekniska utformning och ekonomiska effekter, är att jämställa med minskning som är obligatorisk, ska omräkning av </w:t>
      </w:r>
      <w:r w:rsidR="009F156C">
        <w:t>Konverteringskursen</w:t>
      </w:r>
      <w:r>
        <w:t xml:space="preserve"> ske med tillämpning så långt möjligt av de principer som anges ovan.</w:t>
      </w:r>
    </w:p>
    <w:p w14:paraId="1FA62C27" w14:textId="77777777" w:rsidR="00F265FE" w:rsidRDefault="00174ED5" w:rsidP="00CF5818">
      <w:pPr>
        <w:pStyle w:val="Heading3"/>
        <w:jc w:val="both"/>
      </w:pPr>
      <w:r>
        <w:t>I. Ändamålsenlig omräkning</w:t>
      </w:r>
    </w:p>
    <w:p w14:paraId="44F88698" w14:textId="3AECD9F5" w:rsidR="00F265FE" w:rsidRDefault="00174ED5" w:rsidP="00CF5818">
      <w:pPr>
        <w:jc w:val="both"/>
      </w:pPr>
      <w:r>
        <w:t xml:space="preserve">Genomför Bolaget åtgärd som avses i punkt A-E, G, H eller M och skulle enligt Bolagets styrelses bedömning tillämpningen av de föreskrivna omräkningsformlerna med hänsyn till åtgärdens tekniska utformning eller av annat skäl inte kunna ske eller leda till att den ekonomiska </w:t>
      </w:r>
      <w:r>
        <w:lastRenderedPageBreak/>
        <w:t xml:space="preserve">kompensation som </w:t>
      </w:r>
      <w:r w:rsidR="009F156C">
        <w:t>Konvertibelinnehavaren</w:t>
      </w:r>
      <w:r>
        <w:t xml:space="preserve"> erhåller i förhållande till aktieägarna inte är skälig, ska styrelsen genomföra omräkningen av </w:t>
      </w:r>
      <w:r w:rsidR="009F156C">
        <w:t>Konverteringskursen</w:t>
      </w:r>
      <w:r>
        <w:t xml:space="preserve"> på det sätt styrelsen finner ändamålsenligt för att få ett skäligt resultat.</w:t>
      </w:r>
    </w:p>
    <w:p w14:paraId="0D50586D" w14:textId="77777777" w:rsidR="00F265FE" w:rsidRDefault="00174ED5" w:rsidP="00CF5818">
      <w:pPr>
        <w:pStyle w:val="Heading3"/>
        <w:jc w:val="both"/>
      </w:pPr>
      <w:r>
        <w:t>J. Avrundning</w:t>
      </w:r>
    </w:p>
    <w:p w14:paraId="5E5D13F4" w14:textId="6956F7B4" w:rsidR="00F265FE" w:rsidRDefault="00174ED5" w:rsidP="00CF5818">
      <w:pPr>
        <w:jc w:val="both"/>
      </w:pPr>
      <w:r>
        <w:t xml:space="preserve">För fastställande av omräknad </w:t>
      </w:r>
      <w:r w:rsidR="009F156C">
        <w:t>Konvertibelkurs</w:t>
      </w:r>
      <w:r>
        <w:t xml:space="preserve"> ska </w:t>
      </w:r>
      <w:r w:rsidR="009F156C">
        <w:t xml:space="preserve">Konvertibelkursen </w:t>
      </w:r>
      <w:r>
        <w:t xml:space="preserve">avrundas </w:t>
      </w:r>
      <w:r w:rsidR="009F156C" w:rsidRPr="009F156C">
        <w:t>till närmaste helt tiotal öre, varvid fem öre ska avrundas uppåt.</w:t>
      </w:r>
    </w:p>
    <w:p w14:paraId="33D366FC" w14:textId="77777777" w:rsidR="00F265FE" w:rsidRDefault="00174ED5" w:rsidP="00CF5818">
      <w:pPr>
        <w:pStyle w:val="Heading3"/>
        <w:jc w:val="both"/>
      </w:pPr>
      <w:r>
        <w:t>K. Likvidation</w:t>
      </w:r>
    </w:p>
    <w:p w14:paraId="5022A83D" w14:textId="3B51FB40" w:rsidR="00F265FE" w:rsidRDefault="00174ED5" w:rsidP="00CF5818">
      <w:pPr>
        <w:jc w:val="both"/>
      </w:pPr>
      <w:r>
        <w:t xml:space="preserve">Vid likvidation enligt 25 kap aktiebolagslagen får </w:t>
      </w:r>
      <w:r w:rsidR="009F156C">
        <w:t>Konvertering</w:t>
      </w:r>
      <w:r>
        <w:t xml:space="preserve"> inte</w:t>
      </w:r>
      <w:r w:rsidR="009F156C">
        <w:t xml:space="preserve"> påkallas</w:t>
      </w:r>
      <w:r>
        <w:t>. Det gäller oavsett likvidationsgrunden och oberoende av om beslutet att Bolaget ska träda i likvidation vunnit laga kraft eller inte.</w:t>
      </w:r>
      <w:r w:rsidR="009F156C">
        <w:t xml:space="preserve"> Konvertibelinnehavaren</w:t>
      </w:r>
      <w:r w:rsidR="009F156C" w:rsidRPr="009F156C">
        <w:t xml:space="preserve"> äger dock rätt att i nu avsedda fall </w:t>
      </w:r>
      <w:r w:rsidR="009F156C">
        <w:t xml:space="preserve">påfordra </w:t>
      </w:r>
      <w:r w:rsidR="009F156C" w:rsidRPr="009F156C">
        <w:t xml:space="preserve">omedelbar betalning av skuldförbindelsens nominella belopp. Denna rätt inträder, om likvidationen beslutats av bolagsstämman, från och med dagen efter stämman samt eljest från och med den dag, då rättens beslut om likvidation vunnit laga kraft. Inom en vecka därefter </w:t>
      </w:r>
      <w:r w:rsidR="00236D42">
        <w:t>ska</w:t>
      </w:r>
      <w:r w:rsidR="009F156C" w:rsidRPr="009F156C">
        <w:t xml:space="preserve"> Bolaget genom meddelande enligt § 13 nedan </w:t>
      </w:r>
      <w:r w:rsidR="009F156C">
        <w:t>meddela Konvertibelinnehavarna</w:t>
      </w:r>
      <w:r w:rsidR="009F156C" w:rsidRPr="009F156C">
        <w:t xml:space="preserve"> om deras rätt att </w:t>
      </w:r>
      <w:r w:rsidR="00FE56EE">
        <w:t>påfordra</w:t>
      </w:r>
      <w:r w:rsidR="009F156C" w:rsidRPr="009F156C">
        <w:t xml:space="preserve"> omedelbar betalning.</w:t>
      </w:r>
    </w:p>
    <w:p w14:paraId="5C9D0C11" w14:textId="01F0CA73" w:rsidR="00F265FE" w:rsidRDefault="00174ED5" w:rsidP="00CF5818">
      <w:pPr>
        <w:jc w:val="both"/>
      </w:pPr>
      <w:r>
        <w:t xml:space="preserve">Samtidigt som kallelse till bolagsstämma sker och innan bolagsstämma tar ställning till fråga om Bolaget ska träda i frivillig likvidation enligt 25 kap 1 § aktiebolagslagen ska </w:t>
      </w:r>
      <w:r w:rsidR="009F156C">
        <w:t>Konvertibelinnehavare genom meddelande enligt § 13</w:t>
      </w:r>
      <w:r>
        <w:t xml:space="preserve"> nedan underrättas om saken. I meddelandet ska tas in en erinran om att </w:t>
      </w:r>
      <w:r w:rsidR="009F156C">
        <w:t xml:space="preserve">Konvertering </w:t>
      </w:r>
      <w:r>
        <w:t xml:space="preserve">inte får </w:t>
      </w:r>
      <w:r w:rsidR="009F156C">
        <w:t xml:space="preserve">påkallas </w:t>
      </w:r>
      <w:r>
        <w:t>sedan bolagsstämman fattat beslut om likvidation.</w:t>
      </w:r>
    </w:p>
    <w:p w14:paraId="0FE4D533" w14:textId="41344E93" w:rsidR="00F265FE" w:rsidRDefault="00174ED5" w:rsidP="00CF5818">
      <w:pPr>
        <w:jc w:val="both"/>
      </w:pPr>
      <w:r>
        <w:t xml:space="preserve">Skulle Bolaget lämna meddelande om att det överväger att frivilligt träda i likvidation, ska </w:t>
      </w:r>
      <w:r w:rsidR="009F156C">
        <w:t>Konvertibelinnehavare – oavsett vad som sägs i § 7</w:t>
      </w:r>
      <w:r>
        <w:t xml:space="preserve"> om tidigaste tidpunkt för påkallande av </w:t>
      </w:r>
      <w:r w:rsidR="009F156C">
        <w:t>Konvertering</w:t>
      </w:r>
      <w:r>
        <w:t xml:space="preserve"> – ha rätt att </w:t>
      </w:r>
      <w:r w:rsidR="009F156C">
        <w:t xml:space="preserve">påkalla Konvertering </w:t>
      </w:r>
      <w:r>
        <w:t xml:space="preserve">från den dag då meddelandet lämnats. Det gäller dock bara om </w:t>
      </w:r>
      <w:r w:rsidR="009F156C">
        <w:t>Konvertering</w:t>
      </w:r>
      <w:r w:rsidR="006D54FA">
        <w:t xml:space="preserve"> kan verkställas senast på femte </w:t>
      </w:r>
      <w:r>
        <w:t>kalenderdagen före den bolagsstämma vid vilken frågan om Bolagets likvidation ska behandlas.</w:t>
      </w:r>
    </w:p>
    <w:p w14:paraId="58D3C404" w14:textId="77777777" w:rsidR="00F265FE" w:rsidRDefault="00174ED5" w:rsidP="00CF5818">
      <w:pPr>
        <w:pStyle w:val="Heading3"/>
        <w:jc w:val="both"/>
      </w:pPr>
      <w:r>
        <w:t>L. Fusion</w:t>
      </w:r>
    </w:p>
    <w:p w14:paraId="4F13BA06" w14:textId="088C4144" w:rsidR="00F265FE" w:rsidRDefault="00174ED5" w:rsidP="00CF5818">
      <w:pPr>
        <w:jc w:val="both"/>
      </w:pPr>
      <w:r>
        <w:t xml:space="preserve">Skulle bolagsstämman godkänna fusionsplan, enligt 23 kap 15 § aktiebolagslagen, varigenom Bolaget ska uppgå i annat bolag, får påkallande av </w:t>
      </w:r>
      <w:r w:rsidR="009F156C">
        <w:t xml:space="preserve">Konvertering </w:t>
      </w:r>
      <w:r>
        <w:t>därefter inte ske.</w:t>
      </w:r>
    </w:p>
    <w:p w14:paraId="04ACCF6C" w14:textId="37666AF8" w:rsidR="00FE56EE" w:rsidRDefault="00FE56EE" w:rsidP="00CF5818">
      <w:pPr>
        <w:jc w:val="both"/>
      </w:pPr>
      <w:r>
        <w:t>Konvertibelinnehavare har dock rätt att under en period av två månader räknat från sådant godkännande påfordra omedelbar betalning av skuldförbindelsernas nominella belopp jämte per betalningsdagen upplupen ränta.</w:t>
      </w:r>
    </w:p>
    <w:p w14:paraId="07B07139" w14:textId="220FAD8B" w:rsidR="00FE56EE" w:rsidRDefault="00FE56EE" w:rsidP="00CF5818">
      <w:pPr>
        <w:jc w:val="both"/>
      </w:pPr>
      <w:r>
        <w:t xml:space="preserve">Bolaget </w:t>
      </w:r>
      <w:r w:rsidR="00236D42">
        <w:t>ska</w:t>
      </w:r>
      <w:r>
        <w:t xml:space="preserve"> senast en vecka efter periodens början genom meddelande enligt § 13 nedan erinra Konvertibelinnehavare om denna rätt. Genom vad nu sagts inskränks inte den rätt, som på grund av lag tillkommer Konvertibelinnehavare i egenskap av borgenär i samband med fusion.</w:t>
      </w:r>
    </w:p>
    <w:p w14:paraId="42D45996" w14:textId="509F4A15" w:rsidR="00F265FE" w:rsidRDefault="00174ED5" w:rsidP="00CF5818">
      <w:pPr>
        <w:jc w:val="both"/>
      </w:pPr>
      <w:r>
        <w:t xml:space="preserve">Senast två månader innan Bolaget tar slutlig ställning till fråga om fusion enligt ovan, ska </w:t>
      </w:r>
      <w:r w:rsidR="009F156C">
        <w:t>Konvertibelinnehavare genom meddelande enligt § 13</w:t>
      </w:r>
      <w:r>
        <w:t xml:space="preserve"> nedan underrättas om fusionsavsikten. I meddelandet ska en redogörelse lämnas för det huvudsakliga innehållet i den avsedda fusionsplanen samt ska </w:t>
      </w:r>
      <w:r w:rsidR="00FE56EE">
        <w:t xml:space="preserve">Konvertibelinnehavare </w:t>
      </w:r>
      <w:r>
        <w:t xml:space="preserve">erinras om att </w:t>
      </w:r>
      <w:r w:rsidR="00FE56EE">
        <w:t>Konvertering</w:t>
      </w:r>
      <w:r>
        <w:t xml:space="preserve"> inte får ske, sedan slutligt beslut fattats om fusion i enlighet med vad som angivits i föregående stycke.</w:t>
      </w:r>
    </w:p>
    <w:p w14:paraId="518C573D" w14:textId="58DC93FA" w:rsidR="00654484" w:rsidRDefault="00D26D6F" w:rsidP="00CF5818">
      <w:pPr>
        <w:jc w:val="both"/>
      </w:pPr>
      <w:r w:rsidRPr="00D26D6F">
        <w:lastRenderedPageBreak/>
        <w:t xml:space="preserve">Skulle Bolaget lämna meddelande om planerad fusion enligt ovan, </w:t>
      </w:r>
      <w:r w:rsidR="00236D42">
        <w:t>ska</w:t>
      </w:r>
      <w:r>
        <w:t xml:space="preserve"> Konvertibelinnehavare </w:t>
      </w:r>
      <w:r w:rsidRPr="00D26D6F">
        <w:t>- oavsett vad som i § 7 ovan</w:t>
      </w:r>
      <w:r>
        <w:t xml:space="preserve"> sägs om tidigaste tidpunkt för </w:t>
      </w:r>
      <w:r w:rsidRPr="00D26D6F">
        <w:t xml:space="preserve">påkallande av </w:t>
      </w:r>
      <w:r w:rsidR="00D1075B">
        <w:t>Konvertering</w:t>
      </w:r>
      <w:r w:rsidRPr="00D26D6F">
        <w:t xml:space="preserve"> - äga rätt att påkal</w:t>
      </w:r>
      <w:r>
        <w:t xml:space="preserve">la </w:t>
      </w:r>
      <w:r w:rsidR="00D1075B">
        <w:t>Konvertering</w:t>
      </w:r>
      <w:r w:rsidR="00D1075B" w:rsidRPr="00D26D6F">
        <w:t xml:space="preserve"> </w:t>
      </w:r>
      <w:r>
        <w:t xml:space="preserve">från den dag då </w:t>
      </w:r>
      <w:r w:rsidRPr="00D26D6F">
        <w:t>meddelandet lämnats om fusionsplanerna,</w:t>
      </w:r>
      <w:r>
        <w:t xml:space="preserve"> förutsatt att </w:t>
      </w:r>
      <w:r w:rsidR="00D1075B">
        <w:t>Konvertering</w:t>
      </w:r>
      <w:r w:rsidR="00D1075B" w:rsidRPr="00D26D6F">
        <w:t xml:space="preserve"> </w:t>
      </w:r>
      <w:r>
        <w:t xml:space="preserve">kan </w:t>
      </w:r>
      <w:r w:rsidRPr="00D26D6F">
        <w:t>verkställas senast på femte vardagen fö</w:t>
      </w:r>
      <w:r>
        <w:t xml:space="preserve">re den bolagsstämma, vid vilken </w:t>
      </w:r>
      <w:r w:rsidRPr="00D26D6F">
        <w:t xml:space="preserve">fusionsplan varigenom Bolaget </w:t>
      </w:r>
      <w:r w:rsidR="00236D42">
        <w:t>ska</w:t>
      </w:r>
      <w:r w:rsidRPr="00D26D6F">
        <w:t xml:space="preserve"> uppgå i ann</w:t>
      </w:r>
      <w:r>
        <w:t xml:space="preserve">at bolag </w:t>
      </w:r>
      <w:r w:rsidR="00236D42">
        <w:t>ska</w:t>
      </w:r>
      <w:r>
        <w:t xml:space="preserve"> beslutas jämlikt </w:t>
      </w:r>
      <w:r w:rsidRPr="00D26D6F">
        <w:t>23 kap 15 § aktiebolagslagen.</w:t>
      </w:r>
    </w:p>
    <w:p w14:paraId="7ED0CD89" w14:textId="77777777" w:rsidR="00CB20A2" w:rsidRDefault="00CB20A2" w:rsidP="00CF5818">
      <w:pPr>
        <w:jc w:val="both"/>
      </w:pPr>
      <w:r>
        <w:t>Upprättar Bolagets styrelse en fusionsplan enligt 23 kap 28 § aktiebolagslagen, varigenom Bolaget ska uppgå i annat bolag, ska följande gälla.</w:t>
      </w:r>
    </w:p>
    <w:p w14:paraId="2E60E1F3" w14:textId="77777777" w:rsidR="00CB20A2" w:rsidRDefault="00CB20A2" w:rsidP="00CF5818">
      <w:pPr>
        <w:jc w:val="both"/>
      </w:pPr>
      <w:r>
        <w:t xml:space="preserve">Äger ett svenskt moderbolag samtliga Aktier i Bolaget, och offentliggör Bolagets styrelse sin avsikt att upprätta en fusionsplan enligt i föregående stycke angivet lagrum, ska Bolaget, för det fall att sista dag för påkallande av Konvertering enligt § 7 ovan infaller efter sådant offentliggörande, fastställa en ny sista dag för påkallande av Konvertering (Slutdagen). Slutdagen ska infalla inom två månader från offentliggörandet. </w:t>
      </w:r>
    </w:p>
    <w:p w14:paraId="2D96EED2" w14:textId="626095D4" w:rsidR="00CB20A2" w:rsidRDefault="00CB20A2" w:rsidP="00CF5818">
      <w:pPr>
        <w:jc w:val="both"/>
      </w:pPr>
      <w:r w:rsidRPr="00CB20A2">
        <w:t>Konvertibelinnehavare har dock rätt att under en period av två månader räknat från sådant godkännande påfordra omedelbar betalning av skuldförbindelsernas nominella belopp jämte per betalningsdagen upplupen ränta.</w:t>
      </w:r>
    </w:p>
    <w:p w14:paraId="117050AC" w14:textId="70895508" w:rsidR="00CB20A2" w:rsidRDefault="00CB20A2" w:rsidP="00CF5818">
      <w:pPr>
        <w:jc w:val="both"/>
      </w:pPr>
      <w:r w:rsidRPr="00CB20A2">
        <w:t xml:space="preserve">Om offentliggörande skett i enlighet med </w:t>
      </w:r>
      <w:r>
        <w:t>vad som anges ovan, ska</w:t>
      </w:r>
      <w:r w:rsidRPr="00CB20A2">
        <w:t xml:space="preserve"> - </w:t>
      </w:r>
      <w:r>
        <w:t>oavsett vad som i § 7</w:t>
      </w:r>
      <w:r w:rsidRPr="00CB20A2">
        <w:t xml:space="preserve"> ovan sägs om tidigaste tidpunkt för påkallande av </w:t>
      </w:r>
      <w:r w:rsidR="00D1075B">
        <w:t>Konvertering</w:t>
      </w:r>
      <w:r w:rsidRPr="00CB20A2">
        <w:t xml:space="preserve"> - </w:t>
      </w:r>
      <w:r w:rsidR="00D1075B">
        <w:t xml:space="preserve">Konvertibelinnehavare </w:t>
      </w:r>
      <w:r>
        <w:t>äga rätt att påkalla K</w:t>
      </w:r>
      <w:r w:rsidRPr="00CB20A2">
        <w:t xml:space="preserve">onvertering fram till slutdagen. Bolaget </w:t>
      </w:r>
      <w:r w:rsidR="00236D42">
        <w:t>ska</w:t>
      </w:r>
      <w:r w:rsidRPr="00CB20A2">
        <w:t xml:space="preserve"> senast fyra veckor före slutdagen genom meddelande enligt § 13 nedan erinra </w:t>
      </w:r>
      <w:r>
        <w:t>Konvertibelinnehavarna</w:t>
      </w:r>
      <w:r w:rsidRPr="00CB20A2">
        <w:t xml:space="preserve"> om denna rätt samt att </w:t>
      </w:r>
      <w:r w:rsidR="00D1075B">
        <w:t>Konvertering</w:t>
      </w:r>
      <w:r w:rsidRPr="00CB20A2">
        <w:t xml:space="preserve"> ej får påkallas efter slutdagen. Vidare </w:t>
      </w:r>
      <w:r w:rsidR="00236D42">
        <w:t>ska</w:t>
      </w:r>
      <w:r w:rsidRPr="00CB20A2">
        <w:t xml:space="preserve"> </w:t>
      </w:r>
      <w:r>
        <w:t xml:space="preserve">Konvertibelinnehavarna </w:t>
      </w:r>
      <w:r w:rsidRPr="00CB20A2">
        <w:t xml:space="preserve">genom meddelandet erinras om sin rätt att </w:t>
      </w:r>
      <w:r>
        <w:t>påfordra</w:t>
      </w:r>
      <w:r w:rsidRPr="00CB20A2">
        <w:t xml:space="preserve"> omedelbar betalning i enlighet med vad som anges i föregående stycke.</w:t>
      </w:r>
    </w:p>
    <w:p w14:paraId="7540400C" w14:textId="77777777" w:rsidR="00F265FE" w:rsidRDefault="00174ED5" w:rsidP="00CF5818">
      <w:pPr>
        <w:pStyle w:val="Heading3"/>
        <w:jc w:val="both"/>
      </w:pPr>
      <w:r>
        <w:t>M. Delning</w:t>
      </w:r>
    </w:p>
    <w:p w14:paraId="3CE5F52F" w14:textId="77777777" w:rsidR="00412DE3" w:rsidRDefault="00174ED5" w:rsidP="00CF5818">
      <w:pPr>
        <w:jc w:val="both"/>
      </w:pPr>
      <w:r>
        <w:t xml:space="preserve">Om bolagsstämman skulle godkänna en delningsplan enligt 24 kap 17 § aktiebolagslagen varigenom Bolaget ska delas genom att en del av Bolagets tillgångar och skulder övertas av ett eller flera aktiebolag mot vederlag till aktieägarna i Bolaget, tillämpas en omräknad </w:t>
      </w:r>
      <w:r w:rsidR="00412DE3">
        <w:t>Konverteringskurs.</w:t>
      </w:r>
    </w:p>
    <w:p w14:paraId="5CFBEA68" w14:textId="77777777" w:rsidR="00412DE3" w:rsidRDefault="00412DE3" w:rsidP="007A64D1">
      <w:r>
        <w:t>Omräkningen utförs av Bolaget, genom styrelsen, enligt följande formel:</w:t>
      </w:r>
      <w:r>
        <w:br/>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133"/>
        <w:gridCol w:w="690"/>
        <w:gridCol w:w="5681"/>
      </w:tblGrid>
      <w:tr w:rsidR="00412DE3" w14:paraId="3D39C6FD" w14:textId="77777777" w:rsidTr="00412DE3">
        <w:trPr>
          <w:tblCellSpacing w:w="7" w:type="dxa"/>
        </w:trPr>
        <w:tc>
          <w:tcPr>
            <w:tcW w:w="1250" w:type="pct"/>
          </w:tcPr>
          <w:p w14:paraId="475C8BEC" w14:textId="77777777" w:rsidR="00412DE3" w:rsidRDefault="00412DE3" w:rsidP="00CF5818">
            <w:pPr>
              <w:jc w:val="both"/>
            </w:pPr>
          </w:p>
          <w:p w14:paraId="4470A50A" w14:textId="77777777" w:rsidR="00412DE3" w:rsidRDefault="00412DE3" w:rsidP="00CF5818">
            <w:pPr>
              <w:jc w:val="both"/>
            </w:pPr>
            <w:r>
              <w:t>omräknad Konverteringskurs</w:t>
            </w:r>
          </w:p>
        </w:tc>
        <w:tc>
          <w:tcPr>
            <w:tcW w:w="400" w:type="pct"/>
          </w:tcPr>
          <w:p w14:paraId="30785556" w14:textId="77777777" w:rsidR="00412DE3" w:rsidRDefault="00412DE3" w:rsidP="007A64D1"/>
          <w:p w14:paraId="136EA2E1" w14:textId="77777777" w:rsidR="00412DE3" w:rsidRDefault="00412DE3" w:rsidP="007A64D1">
            <w:r>
              <w:t>=</w:t>
            </w:r>
          </w:p>
          <w:p w14:paraId="166B5507" w14:textId="77777777" w:rsidR="00412DE3" w:rsidRDefault="00412DE3" w:rsidP="007A64D1"/>
        </w:tc>
        <w:tc>
          <w:tcPr>
            <w:tcW w:w="3350" w:type="pct"/>
          </w:tcPr>
          <w:p w14:paraId="2EA9A55E" w14:textId="77777777" w:rsidR="00412DE3" w:rsidRDefault="00412DE3" w:rsidP="007A64D1">
            <w:r>
              <w:t>föregående Konverteringskurs x Aktiens genomsnittliga betalkurs under en period om 25 handelsdagar räknat fr.o.m. den dag då Aktien noteras utan rätt till extraordinär utdelning (Aktiens genomsnittskurs)</w:t>
            </w:r>
            <w:r>
              <w:br/>
              <w:t>___________________________________________________</w:t>
            </w:r>
            <w:r>
              <w:br/>
              <w:t>Aktiens genomsnittskurs ökad med den extraordinära utdelning som utbetalas per Aktie</w:t>
            </w:r>
          </w:p>
        </w:tc>
      </w:tr>
    </w:tbl>
    <w:p w14:paraId="6C93A875" w14:textId="77777777" w:rsidR="00412DE3" w:rsidRDefault="00412DE3" w:rsidP="00CF5818">
      <w:pPr>
        <w:jc w:val="both"/>
      </w:pPr>
      <w:r>
        <w:t>Aktiens genomsnittskurs beräknas i enlighet med punkt C ovan.</w:t>
      </w:r>
    </w:p>
    <w:p w14:paraId="77B27475" w14:textId="346ED2C8" w:rsidR="002B2375" w:rsidRDefault="00412DE3" w:rsidP="00CF5818">
      <w:pPr>
        <w:jc w:val="both"/>
      </w:pPr>
      <w:r>
        <w:t xml:space="preserve">Värdet av det </w:t>
      </w:r>
      <w:r w:rsidR="002B2375">
        <w:t>delningsvederlag som utges per A</w:t>
      </w:r>
      <w:r>
        <w:t xml:space="preserve">ktie </w:t>
      </w:r>
      <w:r w:rsidR="00236D42">
        <w:t>ska</w:t>
      </w:r>
      <w:r>
        <w:t xml:space="preserve"> för det fall delningsvederlaget utgår i form av aktier eller andra värdepapper som är föremål för notering på börs eller annan marknadsplats </w:t>
      </w:r>
      <w:r w:rsidR="002B2375" w:rsidRPr="002B2375">
        <w:t xml:space="preserve">anses motsvara genomsnittet av det för varje handelsdag under teckningstiden </w:t>
      </w:r>
      <w:r w:rsidR="002B2375" w:rsidRPr="002B2375">
        <w:lastRenderedPageBreak/>
        <w:t>framräknade medeltalet av den under dagen noterade högsta och lägsta betalkursen enligt Nasdaq Stockholms officiella kurslista. I avsaknad av notering av betalkurs ska i stället den som slutkurs noterade köpkursen ingå i beräkningen. Dag utan notering av vare sig betalkurs eller köpkurs ska inte ingå i beräkningen.</w:t>
      </w:r>
    </w:p>
    <w:p w14:paraId="142A9256" w14:textId="00039902" w:rsidR="002B2375" w:rsidRDefault="00412DE3" w:rsidP="00CF5818">
      <w:pPr>
        <w:jc w:val="both"/>
      </w:pPr>
      <w:r>
        <w:t xml:space="preserve">För det fall delningsvederlaget utgår i form av aktier eller andra värdepapper som inte är föremål för notering </w:t>
      </w:r>
      <w:r w:rsidR="00236D42">
        <w:t>ska</w:t>
      </w:r>
      <w:r>
        <w:t xml:space="preserve"> värdet av delningsvederlaget så långt möjligt fastställas med ledning av den marknadsvärdesförändring avseende Bolagets aktier som kan bedömas ha u</w:t>
      </w:r>
      <w:r w:rsidR="002B2375">
        <w:t>ppkommit till följd av delnings</w:t>
      </w:r>
      <w:r>
        <w:t xml:space="preserve">vederlagets utgivande. </w:t>
      </w:r>
    </w:p>
    <w:p w14:paraId="3A98F7B6" w14:textId="1DAB4D4D" w:rsidR="00FE56EE" w:rsidRDefault="002B2375" w:rsidP="00CF5818">
      <w:pPr>
        <w:jc w:val="both"/>
      </w:pPr>
      <w:r>
        <w:t>Den omräknade Konverteringskursen fastställs av Bolaget, genom styrelsen, två Bankdagar efter utgången av den ovan angivna perioden om 25 handelsdagar och tillämpas vid Konvertering som verkställs därefter.</w:t>
      </w:r>
    </w:p>
    <w:p w14:paraId="136306C3" w14:textId="718AC363" w:rsidR="001507C8" w:rsidRDefault="001507C8" w:rsidP="00CF5818">
      <w:pPr>
        <w:jc w:val="both"/>
      </w:pPr>
      <w:r>
        <w:t>Vid Konvertering som verkställs under tiden fram till dess att omräknad Konverteringskurs fastställts, ska bestämmelsen i punkt C sista stycket ovan äga motsvarande tillämpning.</w:t>
      </w:r>
    </w:p>
    <w:p w14:paraId="4FC13639" w14:textId="22830648" w:rsidR="001507C8" w:rsidRDefault="001507C8" w:rsidP="00CF5818">
      <w:pPr>
        <w:jc w:val="both"/>
      </w:pPr>
      <w:r>
        <w:t>Konvertibelinnehavare ska inte kunna göra gällande någon rätt enligt dessa villkor gentemot det eller de bolag vilka vid partiell delning övertar tillgångar och skulder från Bolaget.</w:t>
      </w:r>
    </w:p>
    <w:p w14:paraId="4730F881" w14:textId="18AC17D4" w:rsidR="00FE56EE" w:rsidRDefault="00FE56EE" w:rsidP="00CF5818">
      <w:pPr>
        <w:jc w:val="both"/>
      </w:pPr>
      <w:r w:rsidRPr="00FE56EE">
        <w:t xml:space="preserve">Om Bolaget skulle besluta om delning enligt 24 kap aktiebolagslagen genom att godkänna delningsplan, varigenom samtliga Bolagets tillgångar och skulder övertas av ett eller flera andra aktiebolag och Bolaget därvid upplöses utan </w:t>
      </w:r>
      <w:r>
        <w:t xml:space="preserve">likvidation, får </w:t>
      </w:r>
      <w:r w:rsidR="00D1075B">
        <w:t>Konvertering</w:t>
      </w:r>
      <w:r>
        <w:t xml:space="preserve"> inte</w:t>
      </w:r>
      <w:r w:rsidRPr="00FE56EE">
        <w:t xml:space="preserve"> därefter påkallas. </w:t>
      </w:r>
      <w:r>
        <w:t xml:space="preserve">Konvertibelinnehavare </w:t>
      </w:r>
      <w:r w:rsidRPr="00FE56EE">
        <w:t>äger dock rätt att under en period av två månader räknat från sådant godkännande</w:t>
      </w:r>
      <w:r>
        <w:t xml:space="preserve"> </w:t>
      </w:r>
      <w:r w:rsidR="001507C8">
        <w:t xml:space="preserve">påfordra </w:t>
      </w:r>
      <w:r w:rsidRPr="00FE56EE">
        <w:t xml:space="preserve">omedelbar betalning av skuldförbindelsernas nominella belopp jämte per </w:t>
      </w:r>
      <w:r>
        <w:t xml:space="preserve">betalningsdagen upplupen ränta. </w:t>
      </w:r>
    </w:p>
    <w:p w14:paraId="5D12E335" w14:textId="309E0628" w:rsidR="001507C8" w:rsidRPr="00FE56EE" w:rsidRDefault="001507C8" w:rsidP="00CF5818">
      <w:pPr>
        <w:jc w:val="both"/>
      </w:pPr>
      <w:r>
        <w:t xml:space="preserve">Bolaget </w:t>
      </w:r>
      <w:r w:rsidR="00236D42">
        <w:t>ska</w:t>
      </w:r>
      <w:r>
        <w:t xml:space="preserve"> senast en vecka efter periodens början genom meddelande enligt § 13 nedan erinra Konvertibelinnehavare om denna rätt. Genom vad nu sagts inskränks inte den rätt, som på grund av lag tillkommer Konvertibelinnehavare i egenskap av borgenär i samband med fusion.</w:t>
      </w:r>
    </w:p>
    <w:p w14:paraId="45B7B27A" w14:textId="556AD6C9" w:rsidR="001507C8" w:rsidRDefault="001507C8" w:rsidP="00CF5818">
      <w:pPr>
        <w:jc w:val="both"/>
      </w:pPr>
      <w:r>
        <w:t>Senast två månader innan Bolaget tar slutlig ställning till fråga om fusion enligt ovan, ska Konvertibelinnehavare genom meddelande enligt § 13 nedan underrättas om delningsplanen. I meddelandet ska en redogörelse lämnas för det huvudsakliga innehållet i den avsedda delningsplanen samt ska Konvertibelinnehavare erinras om att Konvertering inte får ske, sedan slutligt beslut fattats om delning i enlighet med vad som angivits i föregående stycke.</w:t>
      </w:r>
    </w:p>
    <w:p w14:paraId="01C2EF1E" w14:textId="0658F1B1" w:rsidR="00FE56EE" w:rsidRDefault="00FE56EE" w:rsidP="00CF5818">
      <w:pPr>
        <w:jc w:val="both"/>
      </w:pPr>
      <w:r w:rsidRPr="00FE56EE">
        <w:t xml:space="preserve">Skulle Bolaget lämna meddelande om planerad </w:t>
      </w:r>
      <w:r>
        <w:t>delning</w:t>
      </w:r>
      <w:r w:rsidRPr="00FE56EE">
        <w:t xml:space="preserve"> enligt ovan, </w:t>
      </w:r>
      <w:r w:rsidR="00236D42">
        <w:t>ska</w:t>
      </w:r>
      <w:r w:rsidRPr="00FE56EE">
        <w:t xml:space="preserve"> </w:t>
      </w:r>
      <w:r>
        <w:t xml:space="preserve">Konvertibelinnehavare </w:t>
      </w:r>
      <w:r w:rsidRPr="00FE56EE">
        <w:t xml:space="preserve">- oavsett vad som i § 7 ovan sägs om tidigaste tidpunkt för påkallande av </w:t>
      </w:r>
      <w:r w:rsidR="00D1075B">
        <w:t>Konvertering</w:t>
      </w:r>
      <w:r w:rsidR="001507C8">
        <w:t xml:space="preserve"> - äga rätt att påkalla K</w:t>
      </w:r>
      <w:r w:rsidRPr="00FE56EE">
        <w:t xml:space="preserve">onvertering från den dag då meddelandet lämnats om delningsplanen, förutsatt att </w:t>
      </w:r>
      <w:r w:rsidR="00D1075B">
        <w:t>Konvertering</w:t>
      </w:r>
      <w:r w:rsidRPr="00FE56EE">
        <w:t xml:space="preserve"> kan verkställas senast på femte vardagen före den bolagsstämma, vid vilken avtal om delning </w:t>
      </w:r>
      <w:r w:rsidR="00236D42">
        <w:t>ska</w:t>
      </w:r>
      <w:r w:rsidRPr="00FE56EE">
        <w:t xml:space="preserve"> beslutas jämlikt 24 kap aktiebolagslagen.</w:t>
      </w:r>
    </w:p>
    <w:p w14:paraId="154801C4" w14:textId="3D8EC9E4" w:rsidR="00FE56EE" w:rsidRPr="00FE56EE" w:rsidRDefault="00FE56EE" w:rsidP="00CF5818">
      <w:pPr>
        <w:jc w:val="both"/>
      </w:pPr>
      <w:r>
        <w:t>Konvertibelinnehavaren</w:t>
      </w:r>
      <w:r w:rsidRPr="009F156C">
        <w:t xml:space="preserve"> äger dock rätt att i nu avsedda fall </w:t>
      </w:r>
      <w:r>
        <w:t xml:space="preserve">påfordra </w:t>
      </w:r>
      <w:r w:rsidRPr="009F156C">
        <w:t xml:space="preserve">omedelbar betalning av skuldförbindelsens nominella belopp. Denna rätt inträder, om likvidationen beslutats av bolagsstämman, från och med dagen efter stämman samt eljest från och med den dag, då rättens beslut om likvidation vunnit laga kraft. Inom en vecka därefter </w:t>
      </w:r>
      <w:r w:rsidR="00236D42">
        <w:t>ska</w:t>
      </w:r>
      <w:r w:rsidRPr="009F156C">
        <w:t xml:space="preserve"> Bolaget genom meddelande enligt § 13 nedan </w:t>
      </w:r>
      <w:r>
        <w:t>meddela Konvertibelinnehavarna</w:t>
      </w:r>
      <w:r w:rsidRPr="009F156C">
        <w:t xml:space="preserve"> om deras rätt att </w:t>
      </w:r>
      <w:r w:rsidR="00CB20A2">
        <w:t>påfordra</w:t>
      </w:r>
      <w:r w:rsidRPr="009F156C">
        <w:t xml:space="preserve"> omedelbar betalning.</w:t>
      </w:r>
    </w:p>
    <w:p w14:paraId="4C7725A7" w14:textId="77777777" w:rsidR="00F265FE" w:rsidRDefault="00174ED5" w:rsidP="00CF5818">
      <w:pPr>
        <w:pStyle w:val="Heading3"/>
        <w:jc w:val="both"/>
      </w:pPr>
      <w:r>
        <w:lastRenderedPageBreak/>
        <w:t>N. Tvångsinlösen</w:t>
      </w:r>
    </w:p>
    <w:p w14:paraId="55B3E840" w14:textId="77777777" w:rsidR="00CB20A2" w:rsidRDefault="00CB20A2" w:rsidP="00CF5818">
      <w:pPr>
        <w:jc w:val="both"/>
      </w:pPr>
      <w:r w:rsidRPr="00CB20A2">
        <w:t>Äger ett svenskt moderbolag, självt eller tillsammans med dotterföretag, mer än 90 procent av Aktierna i Bolaget, och offentliggör moderbolaget sin avsikt att påkalla tvångsinlösen, ska vad som i sista stycket punkt L sägs om Slutdag äga motsvarande tillämpning.</w:t>
      </w:r>
    </w:p>
    <w:p w14:paraId="718721EB" w14:textId="4CDFFD74" w:rsidR="00CB20A2" w:rsidRDefault="00CB20A2" w:rsidP="00CF5818">
      <w:pPr>
        <w:jc w:val="both"/>
      </w:pPr>
      <w:r>
        <w:t>Konvertibelinnehavare har dock rätt att under en period av två månader räknat från sådant godkännande påfordra omedelbar betalning av skuldförbindelser</w:t>
      </w:r>
      <w:r w:rsidR="009E51D6">
        <w:t>nas nominella belopp jämte per b</w:t>
      </w:r>
      <w:r>
        <w:t>etalningsdagen upplupen ränta.</w:t>
      </w:r>
    </w:p>
    <w:p w14:paraId="6F3D4386" w14:textId="60F5C58B" w:rsidR="00CB20A2" w:rsidRDefault="00CB20A2" w:rsidP="00CF5818">
      <w:pPr>
        <w:jc w:val="both"/>
      </w:pPr>
      <w:r>
        <w:t xml:space="preserve">Om offentliggörande skett i enlighet med vad som anges ovan, ska - oavsett vad som i § 7 ovan sägs om tidigaste tidpunkt för påkallande av </w:t>
      </w:r>
      <w:r w:rsidR="00D1075B">
        <w:t>Konvertering</w:t>
      </w:r>
      <w:r>
        <w:t xml:space="preserve"> - </w:t>
      </w:r>
      <w:r w:rsidR="00D1075B">
        <w:t xml:space="preserve">Konvertibelinnehavare </w:t>
      </w:r>
      <w:r>
        <w:t xml:space="preserve">äga rätt att påkalla Konvertering fram till slutdagen. Bolaget </w:t>
      </w:r>
      <w:r w:rsidR="00236D42">
        <w:t>ska</w:t>
      </w:r>
      <w:r>
        <w:t xml:space="preserve"> senast fyra veckor före slutdagen genom meddelande enligt § 13 nedan erinra Konvertibelinnehavarna om denna rätt samt att </w:t>
      </w:r>
      <w:r w:rsidR="00D1075B">
        <w:t>Konvertering</w:t>
      </w:r>
      <w:r>
        <w:t xml:space="preserve"> ej får påkallas efter slutdagen. Vidare </w:t>
      </w:r>
      <w:r w:rsidR="00236D42">
        <w:t>ska</w:t>
      </w:r>
      <w:r>
        <w:t xml:space="preserve"> Konvertibelinnehavarna genom meddelandet erinras om sin rätt att påfordra omedelbar betalning i enlighet med vad som anges i föregående stycke.</w:t>
      </w:r>
    </w:p>
    <w:p w14:paraId="407E6C5A" w14:textId="39DEE50B" w:rsidR="00F265FE" w:rsidRDefault="00174ED5" w:rsidP="00CF5818">
      <w:pPr>
        <w:jc w:val="both"/>
      </w:pPr>
      <w:r>
        <w:t xml:space="preserve">Har majoritetsägaren enligt 22 kap 6 § aktiebolagslagen begärt att en tvist om inlösen ska avgöras av skiljemän, får </w:t>
      </w:r>
      <w:r w:rsidR="00CB20A2">
        <w:t xml:space="preserve">Konvertiblerna inte utnyttjas för Konvertering förrän inlösentvisten har avgjorts genom en dom eller ett beslut som vunnit laga kraft. Om sista dag för anmälan om Konvertering infaller dessförinnan, har </w:t>
      </w:r>
      <w:r w:rsidR="009E51D6">
        <w:t xml:space="preserve">Konvertibelinnehavaren </w:t>
      </w:r>
      <w:r w:rsidR="00CB20A2">
        <w:t>ändå rätt att utnyttja Konvertiblerna under tre månader efter det att avgörandet vunnit laga kraft.</w:t>
      </w:r>
    </w:p>
    <w:p w14:paraId="4D0F7EAE" w14:textId="77777777" w:rsidR="00F265FE" w:rsidRDefault="00174ED5" w:rsidP="00CF5818">
      <w:pPr>
        <w:pStyle w:val="Heading3"/>
        <w:jc w:val="both"/>
      </w:pPr>
      <w:r>
        <w:t>O. Upphörd eller förfallen likvidation, fusion eller delning</w:t>
      </w:r>
    </w:p>
    <w:p w14:paraId="667BA5B6" w14:textId="62968F04" w:rsidR="00F265FE" w:rsidRDefault="00174ED5" w:rsidP="00CF5818">
      <w:pPr>
        <w:jc w:val="both"/>
      </w:pPr>
      <w:r>
        <w:t xml:space="preserve">Oavsett vad som sagts under punkt K, L och M om att </w:t>
      </w:r>
      <w:r w:rsidR="009E51D6">
        <w:t>Konvertering</w:t>
      </w:r>
      <w:r>
        <w:t xml:space="preserve"> inte får </w:t>
      </w:r>
      <w:r w:rsidR="009E51D6">
        <w:t xml:space="preserve">påkallas efter beslut om likvidation, </w:t>
      </w:r>
      <w:r>
        <w:t>godkännande av</w:t>
      </w:r>
      <w:r w:rsidR="009E51D6">
        <w:t xml:space="preserve"> fusionsplan eller delningsplan eller utgången av ny slutdag vid fusion,</w:t>
      </w:r>
      <w:r>
        <w:t xml:space="preserve"> ska rätten till </w:t>
      </w:r>
      <w:r w:rsidR="009E51D6">
        <w:t>Konvertering</w:t>
      </w:r>
      <w:r>
        <w:t xml:space="preserve"> åter inträda om likvidationen upphör eller frågan om fusion eller delning förfaller.</w:t>
      </w:r>
    </w:p>
    <w:p w14:paraId="3091226A" w14:textId="77777777" w:rsidR="00F265FE" w:rsidRDefault="00174ED5" w:rsidP="00CF5818">
      <w:pPr>
        <w:pStyle w:val="Heading3"/>
        <w:jc w:val="both"/>
      </w:pPr>
      <w:r>
        <w:t>P. Konkurs eller företagsrekonstruktion</w:t>
      </w:r>
    </w:p>
    <w:p w14:paraId="4AE21A8B" w14:textId="736BDC20" w:rsidR="00F265FE" w:rsidRDefault="00174ED5" w:rsidP="00CF5818">
      <w:pPr>
        <w:jc w:val="both"/>
      </w:pPr>
      <w:r>
        <w:t xml:space="preserve">Vid Bolagets konkurs eller om beslut fattas om att Bolaget ska bli föremål för företagsrekonstruktion får </w:t>
      </w:r>
      <w:r w:rsidR="009E51D6">
        <w:t xml:space="preserve">Konvertering </w:t>
      </w:r>
      <w:r>
        <w:t xml:space="preserve">inte ske. Om konkursbeslutet eller beslutet om företagsrekonstruktion hävs av högre rätt, återinträder rätten till </w:t>
      </w:r>
      <w:r w:rsidR="009E51D6">
        <w:t>Konvertering</w:t>
      </w:r>
      <w:r>
        <w:t>.</w:t>
      </w:r>
    </w:p>
    <w:p w14:paraId="5F211EC3" w14:textId="77777777" w:rsidR="00F265FE" w:rsidRDefault="00174ED5" w:rsidP="00CF5818">
      <w:pPr>
        <w:pStyle w:val="Heading3"/>
        <w:jc w:val="both"/>
      </w:pPr>
      <w:r>
        <w:t>Q. Byte av redovisningsvaluta</w:t>
      </w:r>
    </w:p>
    <w:p w14:paraId="14A5F7A2" w14:textId="4CEE5DE7" w:rsidR="00F265FE" w:rsidRDefault="00174ED5" w:rsidP="00CF5818">
      <w:pPr>
        <w:jc w:val="both"/>
      </w:pPr>
      <w:r>
        <w:t xml:space="preserve">Genomför Bolaget byte av redovisningsvaluta, innebärande att Bolagets aktiekapital ska vara bestämt i annan valuta än svenska kronor, ska </w:t>
      </w:r>
      <w:r w:rsidR="009E51D6">
        <w:t>Konverteringskursen</w:t>
      </w:r>
      <w:r>
        <w:t xml:space="preserve"> omräknas till samma valuta som aktiekapitalet är bestämt i. Sådan valutaomräkning ska ske med tillämpning av den växelkurs som använts för omräkning av aktiekapitalet vid valutabytet.</w:t>
      </w:r>
    </w:p>
    <w:p w14:paraId="3E19BEB2" w14:textId="0753A269" w:rsidR="00F265FE" w:rsidRDefault="00174ED5" w:rsidP="00CF5818">
      <w:pPr>
        <w:jc w:val="both"/>
      </w:pPr>
      <w:r>
        <w:t xml:space="preserve">Enligt ovan omräknad </w:t>
      </w:r>
      <w:r w:rsidR="009E51D6">
        <w:t xml:space="preserve">Konverteringskursen </w:t>
      </w:r>
      <w:r>
        <w:t>fastställs av Bolaget</w:t>
      </w:r>
      <w:r w:rsidR="009E51D6">
        <w:t>, genom styrelsen,</w:t>
      </w:r>
      <w:r>
        <w:t xml:space="preserve"> och ska tillämpas vid </w:t>
      </w:r>
      <w:r w:rsidR="009E51D6">
        <w:t>Konvertering</w:t>
      </w:r>
      <w:r>
        <w:t xml:space="preserve"> som verkställs från och med den dag som bytet av redovisningsvaluta får verkan.</w:t>
      </w:r>
    </w:p>
    <w:p w14:paraId="7CB57905" w14:textId="24009A5B" w:rsidR="00F265FE" w:rsidRDefault="009E51D6" w:rsidP="00CF5818">
      <w:pPr>
        <w:pStyle w:val="Heading2"/>
        <w:jc w:val="both"/>
      </w:pPr>
      <w:r>
        <w:lastRenderedPageBreak/>
        <w:t>§ 10 Särskilda åtaganden av Bolaget</w:t>
      </w:r>
      <w:r w:rsidR="00174ED5">
        <w:t xml:space="preserve"> </w:t>
      </w:r>
    </w:p>
    <w:p w14:paraId="095C8EBF" w14:textId="77777777" w:rsidR="009E51D6" w:rsidRDefault="009E51D6" w:rsidP="00CF5818">
      <w:pPr>
        <w:pStyle w:val="Heading2"/>
        <w:jc w:val="both"/>
        <w:rPr>
          <w:rFonts w:eastAsiaTheme="minorHAnsi" w:cstheme="minorBidi"/>
          <w:b w:val="0"/>
          <w:szCs w:val="22"/>
        </w:rPr>
      </w:pPr>
      <w:r w:rsidRPr="009E51D6">
        <w:rPr>
          <w:rFonts w:eastAsiaTheme="minorHAnsi" w:cstheme="minorBidi"/>
          <w:b w:val="0"/>
          <w:szCs w:val="22"/>
        </w:rPr>
        <w:t>Bolaget förbinder sig vidare att inte vidta någon i § 9 ovan angiven åtgärd som skulle medföra en omräkning av konverteringskursen till belopp understigande akties kvotvärde.</w:t>
      </w:r>
    </w:p>
    <w:p w14:paraId="22D68FBD" w14:textId="0CB12142" w:rsidR="00F265FE" w:rsidRDefault="009E51D6" w:rsidP="00CF5818">
      <w:pPr>
        <w:pStyle w:val="Heading2"/>
        <w:jc w:val="both"/>
      </w:pPr>
      <w:r>
        <w:t>§ 11</w:t>
      </w:r>
      <w:r w:rsidR="00174ED5">
        <w:t xml:space="preserve"> </w:t>
      </w:r>
      <w:r>
        <w:t>Preskription</w:t>
      </w:r>
    </w:p>
    <w:p w14:paraId="02558818" w14:textId="6A2FE5B1" w:rsidR="009E51D6" w:rsidRDefault="009E51D6" w:rsidP="00CF5818">
      <w:pPr>
        <w:jc w:val="both"/>
      </w:pPr>
      <w:r w:rsidRPr="009E51D6">
        <w:t>Rätten till betalning av lånebeloppet preskriberas tio år efter förfallodagen. Rätten till räntebetalning preskriberas tre år efter respektive ränteförfallodag. De medel som avsatts för betalning men preskriberats tillkommer Bolaget.</w:t>
      </w:r>
    </w:p>
    <w:p w14:paraId="21EB9CD3" w14:textId="61B02F0D" w:rsidR="009E51D6" w:rsidRDefault="009E51D6" w:rsidP="00CF5818">
      <w:pPr>
        <w:jc w:val="both"/>
        <w:rPr>
          <w:b/>
        </w:rPr>
      </w:pPr>
      <w:r>
        <w:rPr>
          <w:b/>
        </w:rPr>
        <w:t xml:space="preserve">§ 12 </w:t>
      </w:r>
      <w:r w:rsidRPr="009E51D6">
        <w:rPr>
          <w:b/>
        </w:rPr>
        <w:t>Fördelning av tillgängliga medel</w:t>
      </w:r>
    </w:p>
    <w:p w14:paraId="4A8BAA51" w14:textId="056FEDF6" w:rsidR="009E51D6" w:rsidRDefault="009E51D6" w:rsidP="00CF5818">
      <w:pPr>
        <w:jc w:val="both"/>
      </w:pPr>
      <w:r>
        <w:t xml:space="preserve">Har såväl ränta som lånebelopp förfallit till betalning och förslår tillgängliga medel inte till full betalning därav, </w:t>
      </w:r>
      <w:r w:rsidR="00236D42">
        <w:t>ska</w:t>
      </w:r>
      <w:r>
        <w:t xml:space="preserve"> medlen i första hand användas till betalning av räntan och i andra hand till betalning av lånebeloppet.</w:t>
      </w:r>
    </w:p>
    <w:p w14:paraId="1B2DEBD1" w14:textId="0E7193B1" w:rsidR="009E51D6" w:rsidRDefault="009E51D6" w:rsidP="00CF5818">
      <w:pPr>
        <w:jc w:val="both"/>
        <w:rPr>
          <w:b/>
        </w:rPr>
      </w:pPr>
      <w:r>
        <w:rPr>
          <w:b/>
        </w:rPr>
        <w:t>§ 13 M</w:t>
      </w:r>
      <w:r w:rsidRPr="009E51D6">
        <w:rPr>
          <w:b/>
        </w:rPr>
        <w:t>eddelanden</w:t>
      </w:r>
    </w:p>
    <w:p w14:paraId="63A8B16B" w14:textId="1C50801E" w:rsidR="009E51D6" w:rsidRPr="009E51D6" w:rsidRDefault="009E51D6" w:rsidP="00CF5818">
      <w:pPr>
        <w:jc w:val="both"/>
      </w:pPr>
      <w:r w:rsidRPr="009E51D6">
        <w:t xml:space="preserve">Meddelanden rörande lånet </w:t>
      </w:r>
      <w:r w:rsidR="00236D42">
        <w:t>ska</w:t>
      </w:r>
      <w:r w:rsidRPr="009E51D6">
        <w:t xml:space="preserve"> tillställas varje </w:t>
      </w:r>
      <w:r w:rsidR="00D1075B">
        <w:t xml:space="preserve">Konvertibelinnehavare </w:t>
      </w:r>
      <w:r w:rsidRPr="009E51D6">
        <w:t>och annan rättighetshavare som är antecknad på konto i Bolagets avstämningsregister</w:t>
      </w:r>
      <w:r w:rsidR="006D54FA">
        <w:t>.</w:t>
      </w:r>
    </w:p>
    <w:p w14:paraId="784DCFA2" w14:textId="5FA11836" w:rsidR="009E51D6" w:rsidRPr="00795684" w:rsidRDefault="009E51D6" w:rsidP="00CF5818">
      <w:pPr>
        <w:jc w:val="both"/>
        <w:rPr>
          <w:b/>
        </w:rPr>
      </w:pPr>
      <w:r>
        <w:rPr>
          <w:b/>
        </w:rPr>
        <w:t>§ 14 F</w:t>
      </w:r>
      <w:r w:rsidRPr="009E51D6">
        <w:rPr>
          <w:b/>
        </w:rPr>
        <w:t>örvaltare</w:t>
      </w:r>
    </w:p>
    <w:p w14:paraId="5C2382F8" w14:textId="53D7DF6B" w:rsidR="009E51D6" w:rsidRDefault="009E51D6" w:rsidP="00CF5818">
      <w:pPr>
        <w:jc w:val="both"/>
      </w:pPr>
      <w:r>
        <w:t xml:space="preserve">För skuldförbindelse som är förvaltarregistrerad enligt lag om kontoföring av finansiella instrument </w:t>
      </w:r>
      <w:r w:rsidR="00236D42">
        <w:t>ska</w:t>
      </w:r>
      <w:r>
        <w:t xml:space="preserve"> vid tillämpning av dessa villkor förvaltaren betraktas som Konvertibelinnehavare.</w:t>
      </w:r>
    </w:p>
    <w:p w14:paraId="459D0461" w14:textId="1F4D1C76" w:rsidR="009E51D6" w:rsidRPr="009E51D6" w:rsidRDefault="009E51D6" w:rsidP="00CF5818">
      <w:pPr>
        <w:jc w:val="both"/>
        <w:rPr>
          <w:rFonts w:asciiTheme="minorHAnsi" w:hAnsiTheme="minorHAnsi" w:cstheme="minorHAnsi"/>
          <w:b/>
        </w:rPr>
      </w:pPr>
      <w:r w:rsidRPr="009E51D6">
        <w:rPr>
          <w:rFonts w:asciiTheme="minorHAnsi" w:hAnsiTheme="minorHAnsi" w:cstheme="minorHAnsi"/>
          <w:b/>
        </w:rPr>
        <w:t>§ 15 Ändring av villkor</w:t>
      </w:r>
    </w:p>
    <w:p w14:paraId="1C550D25" w14:textId="125CFDC5" w:rsidR="00F265FE" w:rsidRPr="009E51D6" w:rsidRDefault="00174ED5" w:rsidP="00CF5818">
      <w:pPr>
        <w:jc w:val="both"/>
        <w:rPr>
          <w:rFonts w:asciiTheme="minorHAnsi" w:hAnsiTheme="minorHAnsi" w:cstheme="minorHAnsi"/>
        </w:rPr>
      </w:pPr>
      <w:r>
        <w:t xml:space="preserve">Bolagets styrelse har rätt att för </w:t>
      </w:r>
      <w:r w:rsidR="009E51D6">
        <w:t>Konvertibelinnehavarens</w:t>
      </w:r>
      <w:r>
        <w:t xml:space="preserve"> räkning besluta om</w:t>
      </w:r>
      <w:r w:rsidR="009E51D6">
        <w:t xml:space="preserve"> ändring av dessa villkor i den </w:t>
      </w:r>
      <w:r>
        <w:t>mån lagstiftnin</w:t>
      </w:r>
      <w:r w:rsidR="009E51D6">
        <w:t xml:space="preserve">g, domstolsavgörande, </w:t>
      </w:r>
      <w:proofErr w:type="spellStart"/>
      <w:r w:rsidR="009E51D6">
        <w:t>Euroclear</w:t>
      </w:r>
      <w:proofErr w:type="spellEnd"/>
      <w:r w:rsidR="009E51D6">
        <w:t xml:space="preserve"> Sweden</w:t>
      </w:r>
      <w:r>
        <w:t xml:space="preserve"> eller </w:t>
      </w:r>
      <w:r w:rsidR="0077685E">
        <w:t>myndighetsbeslut</w:t>
      </w:r>
      <w:r>
        <w:t xml:space="preserve"> gör det nödvändigt att ändra villkoren eller om det i övrigt – enligt styrelsens bedömning – av praktiska skäl är ändamålsenligt eller nödvändigt att ändra villkoren och </w:t>
      </w:r>
      <w:r w:rsidR="005B1F48">
        <w:t>Konvertibeli</w:t>
      </w:r>
      <w:r>
        <w:t>nnehavarnas rättigheter inte i något hänseende försämras.</w:t>
      </w:r>
    </w:p>
    <w:p w14:paraId="05E602DC" w14:textId="4C7D6836" w:rsidR="00F265FE" w:rsidRDefault="00795684" w:rsidP="00CF5818">
      <w:pPr>
        <w:pStyle w:val="Heading2"/>
        <w:jc w:val="both"/>
      </w:pPr>
      <w:r>
        <w:t>§ 16</w:t>
      </w:r>
      <w:r w:rsidR="00174ED5">
        <w:t xml:space="preserve"> Sekretess</w:t>
      </w:r>
    </w:p>
    <w:p w14:paraId="64087129" w14:textId="535F8062" w:rsidR="00F265FE" w:rsidRDefault="00174ED5" w:rsidP="00CF5818">
      <w:pPr>
        <w:jc w:val="both"/>
      </w:pPr>
      <w:r>
        <w:t xml:space="preserve">Bolaget, kontoförande institut eller Euroclear </w:t>
      </w:r>
      <w:r w:rsidR="00970E2F">
        <w:t xml:space="preserve">Sweden </w:t>
      </w:r>
      <w:r>
        <w:t xml:space="preserve">får inte obehörigen till tredje man lämna uppgift om </w:t>
      </w:r>
      <w:r w:rsidR="00D1075B">
        <w:t>Konvertibelinnehavare</w:t>
      </w:r>
      <w:r>
        <w:t xml:space="preserve">. Bolaget äger rätt att i förekommande fall få följande uppgifter från Euroclear </w:t>
      </w:r>
      <w:r w:rsidR="00970E2F">
        <w:t xml:space="preserve">Sweden </w:t>
      </w:r>
      <w:r>
        <w:t xml:space="preserve">om </w:t>
      </w:r>
      <w:r w:rsidR="00D1075B">
        <w:t xml:space="preserve">Konvertibelinnehavares </w:t>
      </w:r>
      <w:r>
        <w:t>konto i Bolagets avstämningsregister:</w:t>
      </w:r>
    </w:p>
    <w:p w14:paraId="32EA176C" w14:textId="762B2F03" w:rsidR="00F265FE" w:rsidRDefault="00970E2F" w:rsidP="00CF5818">
      <w:pPr>
        <w:pStyle w:val="Bulletpointi"/>
        <w:jc w:val="both"/>
      </w:pPr>
      <w:r>
        <w:t xml:space="preserve">Konvertibelinnehavarens </w:t>
      </w:r>
      <w:r w:rsidR="00174ED5">
        <w:t>namn, personnummer eller annat identifikationsnummer samt postadress;</w:t>
      </w:r>
      <w:r w:rsidR="00773EC3">
        <w:t xml:space="preserve"> och</w:t>
      </w:r>
    </w:p>
    <w:p w14:paraId="599168CB" w14:textId="62901CEB" w:rsidR="00F265FE" w:rsidRDefault="00970E2F" w:rsidP="00CF5818">
      <w:pPr>
        <w:pStyle w:val="Bulletpointi"/>
        <w:jc w:val="both"/>
      </w:pPr>
      <w:r w:rsidRPr="00807F80">
        <w:rPr>
          <w:rFonts w:asciiTheme="minorHAnsi" w:hAnsiTheme="minorHAnsi" w:cstheme="minorHAnsi"/>
        </w:rPr>
        <w:t>skuldförbindelsernas nominella belopp</w:t>
      </w:r>
      <w:r w:rsidR="00174ED5">
        <w:t>.</w:t>
      </w:r>
    </w:p>
    <w:p w14:paraId="3A6E166D" w14:textId="59ED447B" w:rsidR="00714623" w:rsidRPr="00714623" w:rsidRDefault="00795684" w:rsidP="00CF5818">
      <w:pPr>
        <w:pStyle w:val="Bulletpointi"/>
        <w:numPr>
          <w:ilvl w:val="0"/>
          <w:numId w:val="0"/>
        </w:numPr>
        <w:jc w:val="both"/>
        <w:rPr>
          <w:b/>
        </w:rPr>
      </w:pPr>
      <w:r>
        <w:rPr>
          <w:b/>
        </w:rPr>
        <w:t>§ 17</w:t>
      </w:r>
      <w:r w:rsidR="00714623" w:rsidRPr="00714623">
        <w:rPr>
          <w:b/>
        </w:rPr>
        <w:t xml:space="preserve"> Begränsning av ansvar</w:t>
      </w:r>
    </w:p>
    <w:p w14:paraId="2C5F35E8" w14:textId="113CCC23" w:rsidR="00714623" w:rsidRPr="00714623" w:rsidRDefault="00714623" w:rsidP="00CF5818">
      <w:pPr>
        <w:jc w:val="both"/>
      </w:pPr>
      <w:r w:rsidRPr="00714623">
        <w:t>I fråga om de på Bolaget</w:t>
      </w:r>
      <w:r w:rsidR="00970E2F">
        <w:t>, Banken</w:t>
      </w:r>
      <w:r w:rsidRPr="00714623">
        <w:t xml:space="preserve"> och Euroclear</w:t>
      </w:r>
      <w:r w:rsidR="00970E2F">
        <w:t xml:space="preserve"> Sweden</w:t>
      </w:r>
      <w:r w:rsidRPr="00714623">
        <w:t xml:space="preserve"> ankommande åtgärderna gäller att ansvarighet inte kan göras gällande för skada, som beror av lagbud, myndighets åtgärd, krigshändelse, strejk, blockad, bojkott, lockout eller annan liknande omständighet. Förbehållet i </w:t>
      </w:r>
      <w:r w:rsidRPr="00714623">
        <w:lastRenderedPageBreak/>
        <w:t>fråga om strejk, blockad, bojkott och lockout gäller även om Bolaget</w:t>
      </w:r>
      <w:r w:rsidR="00970E2F">
        <w:t>, Banken</w:t>
      </w:r>
      <w:r w:rsidRPr="00714623">
        <w:t xml:space="preserve"> eller </w:t>
      </w:r>
      <w:r w:rsidR="00970E2F" w:rsidRPr="00714623">
        <w:t>Euroclear</w:t>
      </w:r>
      <w:r w:rsidR="00970E2F">
        <w:t xml:space="preserve"> Sweden</w:t>
      </w:r>
      <w:r w:rsidR="00970E2F" w:rsidRPr="00714623">
        <w:t xml:space="preserve"> </w:t>
      </w:r>
      <w:r w:rsidRPr="00714623">
        <w:t>själv(a) vidtar eller är föremål för sådan konfliktåtgärd.</w:t>
      </w:r>
    </w:p>
    <w:p w14:paraId="5BA3C4BF" w14:textId="5147C2B1" w:rsidR="00714623" w:rsidRDefault="00714623" w:rsidP="00CF5818">
      <w:pPr>
        <w:pStyle w:val="Bulletpointi"/>
        <w:numPr>
          <w:ilvl w:val="0"/>
          <w:numId w:val="0"/>
        </w:numPr>
        <w:jc w:val="both"/>
      </w:pPr>
      <w:r>
        <w:t>Bolaget</w:t>
      </w:r>
      <w:r w:rsidR="00970E2F">
        <w:t>, Banken</w:t>
      </w:r>
      <w:r>
        <w:t xml:space="preserve"> eller </w:t>
      </w:r>
      <w:r w:rsidR="00970E2F" w:rsidRPr="00714623">
        <w:t>Euroclear</w:t>
      </w:r>
      <w:r w:rsidR="00970E2F">
        <w:t xml:space="preserve"> Sweden</w:t>
      </w:r>
      <w:r w:rsidR="00970E2F" w:rsidRPr="00714623">
        <w:t xml:space="preserve"> </w:t>
      </w:r>
      <w:r>
        <w:t xml:space="preserve">är inte heller skyldig(a) att i andra fall ersätta skada som uppkommer, om Bolaget eller </w:t>
      </w:r>
      <w:r w:rsidR="00970E2F" w:rsidRPr="00714623">
        <w:t>Euroclear</w:t>
      </w:r>
      <w:r w:rsidR="00970E2F">
        <w:t xml:space="preserve"> Sweden</w:t>
      </w:r>
      <w:r w:rsidR="00970E2F" w:rsidRPr="00714623">
        <w:t xml:space="preserve"> </w:t>
      </w:r>
      <w:r>
        <w:t>varit no</w:t>
      </w:r>
      <w:r w:rsidR="00970E2F">
        <w:t xml:space="preserve">rmalt aktsam. Bolaget, Banken </w:t>
      </w:r>
      <w:r>
        <w:t xml:space="preserve">eller </w:t>
      </w:r>
      <w:r w:rsidR="00970E2F" w:rsidRPr="00714623">
        <w:t>Euroclear</w:t>
      </w:r>
      <w:r w:rsidR="00970E2F">
        <w:t xml:space="preserve"> Sweden</w:t>
      </w:r>
      <w:r w:rsidR="00970E2F" w:rsidRPr="00714623">
        <w:t xml:space="preserve"> </w:t>
      </w:r>
      <w:r>
        <w:t>är i intet fall ansvarig för indirekt skada.</w:t>
      </w:r>
    </w:p>
    <w:p w14:paraId="34BFA775" w14:textId="0AD72582" w:rsidR="00714623" w:rsidRDefault="00714623" w:rsidP="00CF5818">
      <w:pPr>
        <w:pStyle w:val="Bulletpointi"/>
        <w:numPr>
          <w:ilvl w:val="0"/>
          <w:numId w:val="0"/>
        </w:numPr>
        <w:jc w:val="both"/>
      </w:pPr>
      <w:r>
        <w:t>Föreligger hinder för Bolaget</w:t>
      </w:r>
      <w:r w:rsidR="00970E2F">
        <w:t>, Banken</w:t>
      </w:r>
      <w:r>
        <w:t xml:space="preserve"> eller </w:t>
      </w:r>
      <w:r w:rsidR="00970E2F" w:rsidRPr="00714623">
        <w:t>Euroclear</w:t>
      </w:r>
      <w:r w:rsidR="00970E2F">
        <w:t xml:space="preserve"> Sweden</w:t>
      </w:r>
      <w:r w:rsidR="00970E2F" w:rsidRPr="00714623">
        <w:t xml:space="preserve"> </w:t>
      </w:r>
      <w:r>
        <w:t>att verkställa betalning eller att vidta annan åtgärd på grund av sådan omständighet som anges i första stycket ovan, får åtgärden uppskjutas tills hindret har upphört.</w:t>
      </w:r>
    </w:p>
    <w:p w14:paraId="378805B3" w14:textId="711483C7" w:rsidR="00F265FE" w:rsidRDefault="00795684" w:rsidP="00CF5818">
      <w:pPr>
        <w:pStyle w:val="Heading2"/>
        <w:jc w:val="both"/>
      </w:pPr>
      <w:r>
        <w:t>§ 18</w:t>
      </w:r>
      <w:r w:rsidR="00174ED5">
        <w:t xml:space="preserve"> Tillämplig lag</w:t>
      </w:r>
    </w:p>
    <w:p w14:paraId="784F87D4" w14:textId="41747819" w:rsidR="00F265FE" w:rsidRDefault="00970E2F" w:rsidP="00CF5818">
      <w:pPr>
        <w:jc w:val="both"/>
      </w:pPr>
      <w:r>
        <w:t xml:space="preserve">Svensk lag gäller för Konvertiblerna </w:t>
      </w:r>
      <w:r w:rsidR="00174ED5">
        <w:t>och därmed sammanhängande rättsfrågor. Talan i anledning av dessa villkor ska väckas vid den tingsrätt där Bolagets styrelse har sitt säte eller vid sådant annat forum vars behörighet skriftligen accepteras av Bolaget.</w:t>
      </w:r>
    </w:p>
    <w:p w14:paraId="1E1ACE1F" w14:textId="77777777" w:rsidR="00F265FE" w:rsidRDefault="00F265FE" w:rsidP="00CF5818">
      <w:pPr>
        <w:jc w:val="both"/>
      </w:pPr>
    </w:p>
    <w:p w14:paraId="26B2ABC7" w14:textId="7A255EE7" w:rsidR="00F265FE" w:rsidRDefault="00174ED5" w:rsidP="00CF5818">
      <w:pPr>
        <w:jc w:val="both"/>
      </w:pPr>
      <w:r>
        <w:t>_______________________</w:t>
      </w:r>
    </w:p>
    <w:sectPr w:rsidR="00F265FE" w:rsidSect="00F25AD8">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BBB0B5" w14:textId="77777777" w:rsidR="000F3492" w:rsidRDefault="000F3492" w:rsidP="00256697">
      <w:pPr>
        <w:spacing w:before="0"/>
      </w:pPr>
      <w:r>
        <w:separator/>
      </w:r>
    </w:p>
  </w:endnote>
  <w:endnote w:type="continuationSeparator" w:id="0">
    <w:p w14:paraId="2F2157A5" w14:textId="77777777" w:rsidR="000F3492" w:rsidRDefault="000F3492" w:rsidP="0025669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D7766" w14:textId="77777777" w:rsidR="000F3492" w:rsidRDefault="000F34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6657108"/>
      <w:docPartObj>
        <w:docPartGallery w:val="Page Numbers (Bottom of Page)"/>
        <w:docPartUnique/>
      </w:docPartObj>
    </w:sdtPr>
    <w:sdtContent>
      <w:p w14:paraId="211475A8" w14:textId="2CB1A313" w:rsidR="000F3492" w:rsidRDefault="000F3492">
        <w:pPr>
          <w:pStyle w:val="Footer"/>
          <w:jc w:val="right"/>
        </w:pPr>
        <w:r>
          <w:fldChar w:fldCharType="begin"/>
        </w:r>
        <w:r>
          <w:instrText>PAGE   \* MERGEFORMAT</w:instrText>
        </w:r>
        <w:r>
          <w:fldChar w:fldCharType="separate"/>
        </w:r>
        <w:r>
          <w:rPr>
            <w:noProof/>
          </w:rPr>
          <w:t>15</w:t>
        </w:r>
        <w:r>
          <w:fldChar w:fldCharType="end"/>
        </w:r>
        <w:r>
          <w:t>/15</w:t>
        </w:r>
      </w:p>
    </w:sdtContent>
  </w:sdt>
  <w:p w14:paraId="28F26CE6" w14:textId="77777777" w:rsidR="000F3492" w:rsidRDefault="000F34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73EA3" w14:textId="77777777" w:rsidR="000F3492" w:rsidRDefault="000F34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C319C5" w14:textId="77777777" w:rsidR="000F3492" w:rsidRDefault="000F3492" w:rsidP="00256697">
      <w:pPr>
        <w:spacing w:before="0"/>
      </w:pPr>
      <w:r>
        <w:separator/>
      </w:r>
    </w:p>
  </w:footnote>
  <w:footnote w:type="continuationSeparator" w:id="0">
    <w:p w14:paraId="244F73BC" w14:textId="77777777" w:rsidR="000F3492" w:rsidRDefault="000F3492" w:rsidP="00256697">
      <w:pPr>
        <w:spacing w:before="0"/>
      </w:pPr>
      <w:r>
        <w:continuationSeparator/>
      </w:r>
    </w:p>
  </w:footnote>
  <w:footnote w:id="1">
    <w:p w14:paraId="1E860623" w14:textId="78B3D312" w:rsidR="000F3492" w:rsidRDefault="000F3492">
      <w:pPr>
        <w:pStyle w:val="FootnoteText"/>
      </w:pPr>
      <w:r>
        <w:rPr>
          <w:rStyle w:val="FootnoteReference"/>
        </w:rPr>
        <w:footnoteRef/>
      </w:r>
      <w:r>
        <w:t xml:space="preserve"> Räntan kommer att fastställas efter att Konverteringskursen är fastställd.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C93EF" w14:textId="77777777" w:rsidR="000F3492" w:rsidRDefault="000F34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51EDA" w14:textId="77777777" w:rsidR="000F3492" w:rsidRPr="00256697" w:rsidRDefault="000F3492">
    <w:pPr>
      <w:pStyle w:val="Header"/>
      <w:rPr>
        <w:i/>
      </w:rPr>
    </w:pPr>
    <w:r>
      <w:tab/>
    </w:r>
    <w:r>
      <w:tab/>
    </w:r>
    <w:r>
      <w:rPr>
        <w:i/>
      </w:rPr>
      <w:t>Bilaga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EE58B" w14:textId="77777777" w:rsidR="000F3492" w:rsidRDefault="000F34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D0AA0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DCBC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96023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20DE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A4C5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CC0D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E66D1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8608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6AE9A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85A8B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13B13"/>
    <w:multiLevelType w:val="multilevel"/>
    <w:tmpl w:val="BB74F07C"/>
    <w:lvl w:ilvl="0">
      <w:start w:val="1"/>
      <w:numFmt w:val="bullet"/>
      <w:pStyle w:val="Bulletpoint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Symbol" w:hAnsi="Symbol" w:hint="default"/>
      </w:rPr>
    </w:lvl>
    <w:lvl w:ilvl="2">
      <w:start w:val="1"/>
      <w:numFmt w:val="bullet"/>
      <w:lvlText w:val=""/>
      <w:lvlJc w:val="left"/>
      <w:pPr>
        <w:tabs>
          <w:tab w:val="num" w:pos="1021"/>
        </w:tabs>
        <w:ind w:left="1021" w:hanging="341"/>
      </w:pPr>
      <w:rPr>
        <w:rFonts w:ascii="Symbol" w:hAnsi="Symbol" w:hint="default"/>
      </w:rPr>
    </w:lvl>
    <w:lvl w:ilvl="3">
      <w:start w:val="1"/>
      <w:numFmt w:val="bullet"/>
      <w:lvlText w:val=""/>
      <w:lvlJc w:val="left"/>
      <w:pPr>
        <w:tabs>
          <w:tab w:val="num" w:pos="1361"/>
        </w:tabs>
        <w:ind w:left="1361" w:hanging="34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9471FFF"/>
    <w:multiLevelType w:val="multilevel"/>
    <w:tmpl w:val="FFD4FB4C"/>
    <w:lvl w:ilvl="0">
      <w:start w:val="1"/>
      <w:numFmt w:val="decimal"/>
      <w:lvlText w:val="§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A0E5A82"/>
    <w:multiLevelType w:val="multilevel"/>
    <w:tmpl w:val="0B08A35E"/>
    <w:lvl w:ilvl="0">
      <w:start w:val="1"/>
      <w:numFmt w:val="lowerLetter"/>
      <w:pStyle w:val="Bulletpointa"/>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Letter"/>
      <w:lvlText w:val="%3)"/>
      <w:lvlJc w:val="left"/>
      <w:pPr>
        <w:tabs>
          <w:tab w:val="num" w:pos="1021"/>
        </w:tabs>
        <w:ind w:left="1021" w:hanging="341"/>
      </w:pPr>
      <w:rPr>
        <w:rFonts w:hint="default"/>
      </w:rPr>
    </w:lvl>
    <w:lvl w:ilvl="3">
      <w:start w:val="1"/>
      <w:numFmt w:val="lowerLetter"/>
      <w:lvlText w:val="%4)"/>
      <w:lvlJc w:val="left"/>
      <w:pPr>
        <w:tabs>
          <w:tab w:val="num" w:pos="1361"/>
        </w:tabs>
        <w:ind w:left="1361" w:hanging="34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15A6C80"/>
    <w:multiLevelType w:val="hybridMultilevel"/>
    <w:tmpl w:val="82B8605A"/>
    <w:lvl w:ilvl="0" w:tplc="360CCDF8">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1EE038E8"/>
    <w:multiLevelType w:val="multilevel"/>
    <w:tmpl w:val="6CE64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9BA6E01"/>
    <w:multiLevelType w:val="multilevel"/>
    <w:tmpl w:val="F792513A"/>
    <w:lvl w:ilvl="0">
      <w:start w:val="1"/>
      <w:numFmt w:val="upperLetter"/>
      <w:pStyle w:val="Bulletpointuppera"/>
      <w:lvlText w:val="%1)"/>
      <w:lvlJc w:val="left"/>
      <w:pPr>
        <w:tabs>
          <w:tab w:val="num" w:pos="340"/>
        </w:tabs>
        <w:ind w:left="340" w:hanging="340"/>
      </w:pPr>
      <w:rPr>
        <w:rFonts w:hint="default"/>
      </w:rPr>
    </w:lvl>
    <w:lvl w:ilvl="1">
      <w:start w:val="1"/>
      <w:numFmt w:val="upperLetter"/>
      <w:lvlText w:val="%2)"/>
      <w:lvlJc w:val="left"/>
      <w:pPr>
        <w:tabs>
          <w:tab w:val="num" w:pos="680"/>
        </w:tabs>
        <w:ind w:left="680" w:hanging="340"/>
      </w:pPr>
      <w:rPr>
        <w:rFonts w:hint="default"/>
      </w:rPr>
    </w:lvl>
    <w:lvl w:ilvl="2">
      <w:start w:val="1"/>
      <w:numFmt w:val="upperLetter"/>
      <w:lvlText w:val="%3)"/>
      <w:lvlJc w:val="left"/>
      <w:pPr>
        <w:tabs>
          <w:tab w:val="num" w:pos="1021"/>
        </w:tabs>
        <w:ind w:left="1021" w:hanging="341"/>
      </w:pPr>
      <w:rPr>
        <w:rFonts w:hint="default"/>
      </w:rPr>
    </w:lvl>
    <w:lvl w:ilvl="3">
      <w:start w:val="1"/>
      <w:numFmt w:val="upperLetter"/>
      <w:lvlText w:val="%4)"/>
      <w:lvlJc w:val="left"/>
      <w:pPr>
        <w:tabs>
          <w:tab w:val="num" w:pos="1361"/>
        </w:tabs>
        <w:ind w:left="1361" w:hanging="34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FDE20F7"/>
    <w:multiLevelType w:val="multilevel"/>
    <w:tmpl w:val="2EB4F93C"/>
    <w:lvl w:ilvl="0">
      <w:start w:val="1"/>
      <w:numFmt w:val="decimal"/>
      <w:pStyle w:val="ListParagraph"/>
      <w:lvlText w:val="%1."/>
      <w:lvlJc w:val="left"/>
      <w:pPr>
        <w:tabs>
          <w:tab w:val="num" w:pos="340"/>
        </w:tabs>
        <w:ind w:left="340" w:hanging="340"/>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7" w15:restartNumberingAfterBreak="0">
    <w:nsid w:val="35BF30CA"/>
    <w:multiLevelType w:val="multilevel"/>
    <w:tmpl w:val="614067E4"/>
    <w:lvl w:ilvl="0">
      <w:start w:val="1"/>
      <w:numFmt w:val="decimal"/>
      <w:pStyle w:val="Bulletpointnumber"/>
      <w:lvlText w:val="%1."/>
      <w:lvlJc w:val="left"/>
      <w:pPr>
        <w:tabs>
          <w:tab w:val="num" w:pos="340"/>
        </w:tabs>
        <w:ind w:left="340" w:hanging="340"/>
      </w:pPr>
      <w:rPr>
        <w:rFonts w:hint="default"/>
      </w:rPr>
    </w:lvl>
    <w:lvl w:ilvl="1">
      <w:start w:val="1"/>
      <w:numFmt w:val="decimal"/>
      <w:lvlText w:val="%2."/>
      <w:lvlJc w:val="left"/>
      <w:pPr>
        <w:tabs>
          <w:tab w:val="num" w:pos="680"/>
        </w:tabs>
        <w:ind w:left="680" w:hanging="340"/>
      </w:pPr>
      <w:rPr>
        <w:rFonts w:hint="default"/>
      </w:rPr>
    </w:lvl>
    <w:lvl w:ilvl="2">
      <w:start w:val="1"/>
      <w:numFmt w:val="decimal"/>
      <w:lvlText w:val="%3."/>
      <w:lvlJc w:val="left"/>
      <w:pPr>
        <w:tabs>
          <w:tab w:val="num" w:pos="1021"/>
        </w:tabs>
        <w:ind w:left="1021" w:hanging="341"/>
      </w:pPr>
      <w:rPr>
        <w:rFonts w:hint="default"/>
      </w:rPr>
    </w:lvl>
    <w:lvl w:ilvl="3">
      <w:start w:val="1"/>
      <w:numFmt w:val="decimal"/>
      <w:lvlText w:val="%4."/>
      <w:lvlJc w:val="left"/>
      <w:pPr>
        <w:tabs>
          <w:tab w:val="num" w:pos="1361"/>
        </w:tabs>
        <w:ind w:left="1361" w:hanging="34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7475686"/>
    <w:multiLevelType w:val="multilevel"/>
    <w:tmpl w:val="C7EC1F06"/>
    <w:lvl w:ilvl="0">
      <w:start w:val="1"/>
      <w:numFmt w:val="lowerRoman"/>
      <w:pStyle w:val="Bulletpointi"/>
      <w:lvlText w:val="%1)"/>
      <w:lvlJc w:val="left"/>
      <w:pPr>
        <w:tabs>
          <w:tab w:val="num" w:pos="340"/>
        </w:tabs>
        <w:ind w:left="340" w:hanging="340"/>
      </w:pPr>
      <w:rPr>
        <w:rFonts w:hint="default"/>
      </w:rPr>
    </w:lvl>
    <w:lvl w:ilvl="1">
      <w:start w:val="1"/>
      <w:numFmt w:val="lowerRoman"/>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lowerRoman"/>
      <w:lvlText w:val="%4)"/>
      <w:lvlJc w:val="left"/>
      <w:pPr>
        <w:tabs>
          <w:tab w:val="num" w:pos="1361"/>
        </w:tabs>
        <w:ind w:left="1361" w:hanging="34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560F4DCC"/>
    <w:multiLevelType w:val="multilevel"/>
    <w:tmpl w:val="6CE64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96B1D71"/>
    <w:multiLevelType w:val="multilevel"/>
    <w:tmpl w:val="B1B863D6"/>
    <w:lvl w:ilvl="0">
      <w:start w:val="1"/>
      <w:numFmt w:val="decimal"/>
      <w:lvlText w:val="%1."/>
      <w:lvlJc w:val="left"/>
      <w:pPr>
        <w:ind w:left="340" w:hanging="34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7E33F88"/>
    <w:multiLevelType w:val="hybridMultilevel"/>
    <w:tmpl w:val="C7F0D37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680850B4"/>
    <w:multiLevelType w:val="hybridMultilevel"/>
    <w:tmpl w:val="891A3AA8"/>
    <w:lvl w:ilvl="0" w:tplc="85AEF288">
      <w:start w:val="1"/>
      <w:numFmt w:val="decimal"/>
      <w:lvlText w:val="§ %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794A5632"/>
    <w:multiLevelType w:val="multilevel"/>
    <w:tmpl w:val="39944720"/>
    <w:lvl w:ilvl="0">
      <w:start w:val="1"/>
      <w:numFmt w:val="decimal"/>
      <w:pStyle w:val="MinutesHeading3"/>
      <w:lvlText w:val="%1."/>
      <w:lvlJc w:val="left"/>
      <w:pPr>
        <w:ind w:left="340" w:hanging="34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2"/>
  </w:num>
  <w:num w:numId="2">
    <w:abstractNumId w:val="23"/>
  </w:num>
  <w:num w:numId="3">
    <w:abstractNumId w:val="21"/>
  </w:num>
  <w:num w:numId="4">
    <w:abstractNumId w:val="20"/>
  </w:num>
  <w:num w:numId="5">
    <w:abstractNumId w:val="13"/>
  </w:num>
  <w:num w:numId="6">
    <w:abstractNumId w:val="17"/>
  </w:num>
  <w:num w:numId="7">
    <w:abstractNumId w:val="12"/>
  </w:num>
  <w:num w:numId="8">
    <w:abstractNumId w:val="18"/>
  </w:num>
  <w:num w:numId="9">
    <w:abstractNumId w:val="10"/>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19"/>
  </w:num>
  <w:num w:numId="22">
    <w:abstractNumId w:val="16"/>
  </w:num>
  <w:num w:numId="23">
    <w:abstractNumId w:val="11"/>
  </w:num>
  <w:num w:numId="24">
    <w:abstractNumId w:val="15"/>
  </w:num>
  <w:num w:numId="25">
    <w:abstractNumId w:val="17"/>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985"/>
    <w:rsid w:val="000029B9"/>
    <w:rsid w:val="000663EA"/>
    <w:rsid w:val="000F3492"/>
    <w:rsid w:val="00112CD9"/>
    <w:rsid w:val="00137C6E"/>
    <w:rsid w:val="001507C8"/>
    <w:rsid w:val="00174ED5"/>
    <w:rsid w:val="00180035"/>
    <w:rsid w:val="00181E33"/>
    <w:rsid w:val="0018606F"/>
    <w:rsid w:val="00191CDC"/>
    <w:rsid w:val="001D55A9"/>
    <w:rsid w:val="002008A6"/>
    <w:rsid w:val="00201F26"/>
    <w:rsid w:val="00214A56"/>
    <w:rsid w:val="002234A8"/>
    <w:rsid w:val="00223532"/>
    <w:rsid w:val="00236D42"/>
    <w:rsid w:val="00256697"/>
    <w:rsid w:val="002B2375"/>
    <w:rsid w:val="00326E78"/>
    <w:rsid w:val="00337706"/>
    <w:rsid w:val="00343AB1"/>
    <w:rsid w:val="00345227"/>
    <w:rsid w:val="00386ADE"/>
    <w:rsid w:val="00392C0D"/>
    <w:rsid w:val="00412DE3"/>
    <w:rsid w:val="00414184"/>
    <w:rsid w:val="00414AA4"/>
    <w:rsid w:val="004273E6"/>
    <w:rsid w:val="00452DF0"/>
    <w:rsid w:val="00487B03"/>
    <w:rsid w:val="00493649"/>
    <w:rsid w:val="004A29CD"/>
    <w:rsid w:val="004A68A8"/>
    <w:rsid w:val="004F0834"/>
    <w:rsid w:val="005126A9"/>
    <w:rsid w:val="0053192E"/>
    <w:rsid w:val="005438AC"/>
    <w:rsid w:val="005717F7"/>
    <w:rsid w:val="005758C3"/>
    <w:rsid w:val="005928C7"/>
    <w:rsid w:val="005A2735"/>
    <w:rsid w:val="005A5BC5"/>
    <w:rsid w:val="005B0AFC"/>
    <w:rsid w:val="005B1F48"/>
    <w:rsid w:val="005B5140"/>
    <w:rsid w:val="005B73A0"/>
    <w:rsid w:val="00617F9A"/>
    <w:rsid w:val="006220E2"/>
    <w:rsid w:val="00645F33"/>
    <w:rsid w:val="00654484"/>
    <w:rsid w:val="00680CC4"/>
    <w:rsid w:val="00684161"/>
    <w:rsid w:val="00684B31"/>
    <w:rsid w:val="00685985"/>
    <w:rsid w:val="006A4ED2"/>
    <w:rsid w:val="006D1B53"/>
    <w:rsid w:val="006D54FA"/>
    <w:rsid w:val="00714623"/>
    <w:rsid w:val="007301E6"/>
    <w:rsid w:val="00732109"/>
    <w:rsid w:val="00733681"/>
    <w:rsid w:val="007366F4"/>
    <w:rsid w:val="00751442"/>
    <w:rsid w:val="007613B6"/>
    <w:rsid w:val="0077152D"/>
    <w:rsid w:val="00773EC3"/>
    <w:rsid w:val="0077685E"/>
    <w:rsid w:val="00794CAB"/>
    <w:rsid w:val="00795684"/>
    <w:rsid w:val="007A64D1"/>
    <w:rsid w:val="007B1ACF"/>
    <w:rsid w:val="007B5C87"/>
    <w:rsid w:val="007C1F51"/>
    <w:rsid w:val="007E4B91"/>
    <w:rsid w:val="007E7FF8"/>
    <w:rsid w:val="008123C3"/>
    <w:rsid w:val="00827984"/>
    <w:rsid w:val="008338AA"/>
    <w:rsid w:val="00834826"/>
    <w:rsid w:val="008351F4"/>
    <w:rsid w:val="00861756"/>
    <w:rsid w:val="008638FB"/>
    <w:rsid w:val="0087106B"/>
    <w:rsid w:val="00894620"/>
    <w:rsid w:val="0089636A"/>
    <w:rsid w:val="008C12DF"/>
    <w:rsid w:val="00904086"/>
    <w:rsid w:val="009441E8"/>
    <w:rsid w:val="00962E6A"/>
    <w:rsid w:val="00970E2F"/>
    <w:rsid w:val="009B3D64"/>
    <w:rsid w:val="009D6B79"/>
    <w:rsid w:val="009E51D6"/>
    <w:rsid w:val="009E6F38"/>
    <w:rsid w:val="009F156C"/>
    <w:rsid w:val="00A10BF0"/>
    <w:rsid w:val="00A27BF5"/>
    <w:rsid w:val="00A372E2"/>
    <w:rsid w:val="00A54FDC"/>
    <w:rsid w:val="00A62F5C"/>
    <w:rsid w:val="00A94EC8"/>
    <w:rsid w:val="00AA0EDE"/>
    <w:rsid w:val="00AB380E"/>
    <w:rsid w:val="00AE2FEC"/>
    <w:rsid w:val="00AE744F"/>
    <w:rsid w:val="00B22616"/>
    <w:rsid w:val="00B33D58"/>
    <w:rsid w:val="00B574D7"/>
    <w:rsid w:val="00B83572"/>
    <w:rsid w:val="00B84FB4"/>
    <w:rsid w:val="00B9052C"/>
    <w:rsid w:val="00B9574F"/>
    <w:rsid w:val="00BB7A32"/>
    <w:rsid w:val="00BF3B4F"/>
    <w:rsid w:val="00C20CCC"/>
    <w:rsid w:val="00C92A61"/>
    <w:rsid w:val="00CB20A2"/>
    <w:rsid w:val="00CB5132"/>
    <w:rsid w:val="00CC14E6"/>
    <w:rsid w:val="00CD0881"/>
    <w:rsid w:val="00CE4FA8"/>
    <w:rsid w:val="00CF5818"/>
    <w:rsid w:val="00D1075B"/>
    <w:rsid w:val="00D24092"/>
    <w:rsid w:val="00D26D6F"/>
    <w:rsid w:val="00D359F8"/>
    <w:rsid w:val="00D37383"/>
    <w:rsid w:val="00D40237"/>
    <w:rsid w:val="00D4227A"/>
    <w:rsid w:val="00D52E91"/>
    <w:rsid w:val="00D758D6"/>
    <w:rsid w:val="00D81486"/>
    <w:rsid w:val="00D910BF"/>
    <w:rsid w:val="00DB2657"/>
    <w:rsid w:val="00DE077F"/>
    <w:rsid w:val="00E257B0"/>
    <w:rsid w:val="00E41D9B"/>
    <w:rsid w:val="00E428C0"/>
    <w:rsid w:val="00E57FD4"/>
    <w:rsid w:val="00E7192A"/>
    <w:rsid w:val="00E77606"/>
    <w:rsid w:val="00E85C83"/>
    <w:rsid w:val="00E926D6"/>
    <w:rsid w:val="00EC7179"/>
    <w:rsid w:val="00ED5429"/>
    <w:rsid w:val="00ED6666"/>
    <w:rsid w:val="00ED6DBC"/>
    <w:rsid w:val="00F11990"/>
    <w:rsid w:val="00F12AD0"/>
    <w:rsid w:val="00F14D40"/>
    <w:rsid w:val="00F25AD8"/>
    <w:rsid w:val="00F265FE"/>
    <w:rsid w:val="00F50A44"/>
    <w:rsid w:val="00F50B6E"/>
    <w:rsid w:val="00FA52C3"/>
    <w:rsid w:val="00FA657D"/>
    <w:rsid w:val="00FC2C72"/>
    <w:rsid w:val="00FD11E8"/>
    <w:rsid w:val="00FD36D8"/>
    <w:rsid w:val="00FE56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33F7CA"/>
  <w15:docId w15:val="{D0EAC922-0AD5-47A9-8304-51E544A48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0" w:qFormat="1"/>
    <w:lsdException w:name="heading 2" w:semiHidden="1" w:uiPriority="10" w:unhideWhenUsed="1" w:qFormat="1"/>
    <w:lsdException w:name="heading 3" w:semiHidden="1" w:uiPriority="9" w:unhideWhenUsed="1" w:qFormat="1"/>
    <w:lsdException w:name="heading 4" w:semiHidden="1" w:uiPriority="1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3" w:qFormat="1"/>
    <w:lsdException w:name="Emphasis" w:uiPriority="2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0" w:qFormat="1"/>
    <w:lsdException w:name="Intense Quote" w:uiPriority="3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0" w:qFormat="1"/>
    <w:lsdException w:name="Intense Emphasis" w:uiPriority="22" w:qFormat="1"/>
    <w:lsdException w:name="Subtle Reference" w:uiPriority="32" w:qFormat="1"/>
    <w:lsdException w:name="Intense Reference" w:uiPriority="33" w:qFormat="1"/>
    <w:lsdException w:name="Book Title" w:uiPriority="34"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1507C8"/>
    <w:pPr>
      <w:spacing w:before="240" w:after="0" w:line="240" w:lineRule="auto"/>
    </w:pPr>
    <w:rPr>
      <w:rFonts w:ascii="Calibri" w:hAnsi="Calibri"/>
    </w:rPr>
  </w:style>
  <w:style w:type="paragraph" w:styleId="Heading1">
    <w:name w:val="heading 1"/>
    <w:basedOn w:val="Normal"/>
    <w:next w:val="Normal"/>
    <w:link w:val="Heading1Char"/>
    <w:uiPriority w:val="1"/>
    <w:qFormat/>
    <w:rsid w:val="002234A8"/>
    <w:pPr>
      <w:keepNext/>
      <w:keepLines/>
      <w:spacing w:before="480"/>
      <w:outlineLvl w:val="0"/>
    </w:pPr>
    <w:rPr>
      <w:rFonts w:eastAsiaTheme="majorEastAsia" w:cstheme="majorBidi"/>
      <w:b/>
      <w:bCs/>
      <w:caps/>
      <w:sz w:val="24"/>
      <w:szCs w:val="28"/>
    </w:rPr>
  </w:style>
  <w:style w:type="paragraph" w:styleId="Heading2">
    <w:name w:val="heading 2"/>
    <w:basedOn w:val="Heading1"/>
    <w:next w:val="Normal"/>
    <w:link w:val="Heading2Char"/>
    <w:uiPriority w:val="10"/>
    <w:qFormat/>
    <w:rsid w:val="002234A8"/>
    <w:pPr>
      <w:spacing w:before="200"/>
      <w:outlineLvl w:val="1"/>
    </w:pPr>
    <w:rPr>
      <w:bCs w:val="0"/>
      <w:caps w:val="0"/>
      <w:sz w:val="22"/>
      <w:szCs w:val="26"/>
    </w:rPr>
  </w:style>
  <w:style w:type="paragraph" w:styleId="Heading3">
    <w:name w:val="heading 3"/>
    <w:basedOn w:val="Normal"/>
    <w:next w:val="Normal"/>
    <w:link w:val="Heading3Char"/>
    <w:uiPriority w:val="10"/>
    <w:unhideWhenUsed/>
    <w:qFormat/>
    <w:rsid w:val="002234A8"/>
    <w:pPr>
      <w:keepNext/>
      <w:keepLines/>
      <w:spacing w:before="200"/>
      <w:outlineLvl w:val="2"/>
    </w:pPr>
    <w:rPr>
      <w:rFonts w:eastAsiaTheme="majorEastAsia" w:cstheme="majorBidi"/>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etext">
    <w:name w:val="Note text"/>
    <w:uiPriority w:val="1"/>
    <w:qFormat/>
    <w:rsid w:val="00B9052C"/>
    <w:rPr>
      <w:i/>
      <w:sz w:val="18"/>
      <w:lang w:val="sv-SE"/>
    </w:rPr>
  </w:style>
  <w:style w:type="character" w:customStyle="1" w:styleId="Heading1Char">
    <w:name w:val="Heading 1 Char"/>
    <w:basedOn w:val="DefaultParagraphFont"/>
    <w:link w:val="Heading1"/>
    <w:uiPriority w:val="1"/>
    <w:rsid w:val="00337706"/>
    <w:rPr>
      <w:rFonts w:ascii="Calibri" w:eastAsiaTheme="majorEastAsia" w:hAnsi="Calibri" w:cstheme="majorBidi"/>
      <w:b/>
      <w:bCs/>
      <w:caps/>
      <w:sz w:val="24"/>
      <w:szCs w:val="28"/>
    </w:rPr>
  </w:style>
  <w:style w:type="paragraph" w:customStyle="1" w:styleId="Heading1English">
    <w:name w:val="Heading 1 English"/>
    <w:basedOn w:val="Heading1"/>
    <w:next w:val="Normal"/>
    <w:qFormat/>
    <w:rsid w:val="00685985"/>
    <w:pPr>
      <w:spacing w:before="0"/>
    </w:pPr>
    <w:rPr>
      <w:i/>
    </w:rPr>
  </w:style>
  <w:style w:type="character" w:customStyle="1" w:styleId="Heading2Char">
    <w:name w:val="Heading 2 Char"/>
    <w:basedOn w:val="DefaultParagraphFont"/>
    <w:link w:val="Heading2"/>
    <w:uiPriority w:val="10"/>
    <w:rsid w:val="00337706"/>
    <w:rPr>
      <w:rFonts w:ascii="Calibri" w:eastAsiaTheme="majorEastAsia" w:hAnsi="Calibri" w:cstheme="majorBidi"/>
      <w:b/>
      <w:szCs w:val="26"/>
    </w:rPr>
  </w:style>
  <w:style w:type="paragraph" w:customStyle="1" w:styleId="Heading2English">
    <w:name w:val="Heading 2 English"/>
    <w:basedOn w:val="Heading2"/>
    <w:next w:val="Normal"/>
    <w:qFormat/>
    <w:rsid w:val="002234A8"/>
    <w:pPr>
      <w:spacing w:before="0"/>
    </w:pPr>
    <w:rPr>
      <w:i/>
      <w:sz w:val="20"/>
    </w:rPr>
  </w:style>
  <w:style w:type="character" w:customStyle="1" w:styleId="Heading3Char">
    <w:name w:val="Heading 3 Char"/>
    <w:basedOn w:val="DefaultParagraphFont"/>
    <w:link w:val="Heading3"/>
    <w:uiPriority w:val="10"/>
    <w:rsid w:val="00337706"/>
    <w:rPr>
      <w:rFonts w:ascii="Calibri" w:eastAsiaTheme="majorEastAsia" w:hAnsi="Calibri" w:cstheme="majorBidi"/>
      <w:bCs/>
      <w:i/>
    </w:rPr>
  </w:style>
  <w:style w:type="paragraph" w:customStyle="1" w:styleId="NormalEnglish">
    <w:name w:val="Normal English"/>
    <w:basedOn w:val="Normal"/>
    <w:qFormat/>
    <w:rsid w:val="002234A8"/>
    <w:pPr>
      <w:spacing w:before="0"/>
    </w:pPr>
    <w:rPr>
      <w:i/>
      <w:sz w:val="20"/>
    </w:rPr>
  </w:style>
  <w:style w:type="paragraph" w:customStyle="1" w:styleId="MinutesHeading1">
    <w:name w:val="Minutes Heading 1"/>
    <w:basedOn w:val="Heading1"/>
    <w:next w:val="Normal"/>
    <w:qFormat/>
    <w:rsid w:val="00A27BF5"/>
    <w:pPr>
      <w:ind w:left="4820"/>
    </w:pPr>
    <w:rPr>
      <w:b w:val="0"/>
      <w:caps w:val="0"/>
      <w:sz w:val="22"/>
    </w:rPr>
  </w:style>
  <w:style w:type="paragraph" w:customStyle="1" w:styleId="MinutesHeading1English">
    <w:name w:val="Minutes Heading1 English"/>
    <w:basedOn w:val="MinutesHeading1"/>
    <w:next w:val="Normal"/>
    <w:qFormat/>
    <w:rsid w:val="00A27BF5"/>
    <w:pPr>
      <w:spacing w:before="0"/>
    </w:pPr>
    <w:rPr>
      <w:i/>
      <w:sz w:val="20"/>
    </w:rPr>
  </w:style>
  <w:style w:type="paragraph" w:customStyle="1" w:styleId="MinutesHeading2">
    <w:name w:val="Minutes Heading 2"/>
    <w:basedOn w:val="Heading2"/>
    <w:next w:val="Normal"/>
    <w:qFormat/>
    <w:rsid w:val="00191CDC"/>
    <w:rPr>
      <w:b w:val="0"/>
      <w:u w:val="single"/>
    </w:rPr>
  </w:style>
  <w:style w:type="paragraph" w:customStyle="1" w:styleId="MinutesHeading2English">
    <w:name w:val="Minutes Heading 2 English"/>
    <w:basedOn w:val="Heading2English"/>
    <w:next w:val="Normal"/>
    <w:qFormat/>
    <w:rsid w:val="00191CDC"/>
    <w:rPr>
      <w:b w:val="0"/>
      <w:u w:val="single"/>
    </w:rPr>
  </w:style>
  <w:style w:type="paragraph" w:customStyle="1" w:styleId="MinutesHeading3">
    <w:name w:val="Minutes Heading 3"/>
    <w:basedOn w:val="Heading3"/>
    <w:next w:val="Normal"/>
    <w:qFormat/>
    <w:rsid w:val="005438AC"/>
    <w:pPr>
      <w:numPr>
        <w:numId w:val="2"/>
      </w:numPr>
      <w:spacing w:before="480"/>
    </w:pPr>
    <w:rPr>
      <w:i w:val="0"/>
    </w:rPr>
  </w:style>
  <w:style w:type="paragraph" w:customStyle="1" w:styleId="Style1">
    <w:name w:val="Style1"/>
    <w:basedOn w:val="Heading1"/>
    <w:rsid w:val="00392C0D"/>
    <w:pPr>
      <w:spacing w:before="0"/>
    </w:pPr>
  </w:style>
  <w:style w:type="paragraph" w:customStyle="1" w:styleId="Heading3English">
    <w:name w:val="Heading 3 English"/>
    <w:basedOn w:val="Heading3"/>
    <w:next w:val="Normal"/>
    <w:qFormat/>
    <w:rsid w:val="002234A8"/>
    <w:pPr>
      <w:spacing w:before="0"/>
    </w:pPr>
    <w:rPr>
      <w:sz w:val="20"/>
    </w:rPr>
  </w:style>
  <w:style w:type="paragraph" w:customStyle="1" w:styleId="Textbody">
    <w:name w:val="Text body"/>
    <w:basedOn w:val="Normal"/>
    <w:rsid w:val="00CC14E6"/>
    <w:pPr>
      <w:widowControl w:val="0"/>
      <w:suppressAutoHyphens/>
      <w:spacing w:before="0" w:after="283" w:line="276" w:lineRule="auto"/>
    </w:pPr>
    <w:rPr>
      <w:rFonts w:eastAsia="Times New Roman" w:cs="Times New Roman"/>
      <w:lang w:eastAsia="zh-CN" w:bidi="hi-IN"/>
    </w:rPr>
  </w:style>
  <w:style w:type="paragraph" w:styleId="ListParagraph">
    <w:name w:val="List Paragraph"/>
    <w:basedOn w:val="Normal"/>
    <w:uiPriority w:val="35"/>
    <w:qFormat/>
    <w:rsid w:val="00BF3B4F"/>
    <w:pPr>
      <w:numPr>
        <w:numId w:val="22"/>
      </w:numPr>
      <w:contextualSpacing/>
    </w:pPr>
  </w:style>
  <w:style w:type="paragraph" w:customStyle="1" w:styleId="Bulletpointnumber">
    <w:name w:val="Bullet point number"/>
    <w:basedOn w:val="ListParagraph"/>
    <w:qFormat/>
    <w:rsid w:val="008C12DF"/>
    <w:pPr>
      <w:numPr>
        <w:numId w:val="6"/>
      </w:numPr>
      <w:contextualSpacing w:val="0"/>
    </w:pPr>
  </w:style>
  <w:style w:type="paragraph" w:customStyle="1" w:styleId="Bulletpointa">
    <w:name w:val="Bullet point a"/>
    <w:basedOn w:val="ListParagraph"/>
    <w:qFormat/>
    <w:rsid w:val="008C12DF"/>
    <w:pPr>
      <w:numPr>
        <w:numId w:val="7"/>
      </w:numPr>
      <w:contextualSpacing w:val="0"/>
    </w:pPr>
  </w:style>
  <w:style w:type="paragraph" w:customStyle="1" w:styleId="Bulletpointi">
    <w:name w:val="Bullet point i"/>
    <w:basedOn w:val="ListParagraph"/>
    <w:qFormat/>
    <w:rsid w:val="008C12DF"/>
    <w:pPr>
      <w:numPr>
        <w:numId w:val="8"/>
      </w:numPr>
      <w:contextualSpacing w:val="0"/>
    </w:pPr>
  </w:style>
  <w:style w:type="paragraph" w:customStyle="1" w:styleId="Bulletpointbullet">
    <w:name w:val="Bullet point bullet"/>
    <w:basedOn w:val="ListParagraph"/>
    <w:qFormat/>
    <w:rsid w:val="008C12DF"/>
    <w:pPr>
      <w:numPr>
        <w:numId w:val="9"/>
      </w:numPr>
      <w:contextualSpacing w:val="0"/>
    </w:pPr>
  </w:style>
  <w:style w:type="paragraph" w:customStyle="1" w:styleId="Adressflt">
    <w:name w:val="Adressfält"/>
    <w:basedOn w:val="Textbody"/>
    <w:qFormat/>
    <w:rsid w:val="008C12DF"/>
    <w:pPr>
      <w:spacing w:after="0"/>
      <w:ind w:left="5102"/>
    </w:pPr>
  </w:style>
  <w:style w:type="paragraph" w:customStyle="1" w:styleId="NormalEnglishIndent">
    <w:name w:val="Normal English Indent"/>
    <w:basedOn w:val="NormalEnglish"/>
    <w:qFormat/>
    <w:rsid w:val="00191CDC"/>
    <w:pPr>
      <w:ind w:left="340"/>
    </w:pPr>
  </w:style>
  <w:style w:type="paragraph" w:styleId="ListNumber">
    <w:name w:val="List Number"/>
    <w:basedOn w:val="Normal"/>
    <w:uiPriority w:val="99"/>
    <w:semiHidden/>
    <w:unhideWhenUsed/>
    <w:rsid w:val="00BF3B4F"/>
    <w:pPr>
      <w:numPr>
        <w:numId w:val="11"/>
      </w:numPr>
      <w:ind w:left="567" w:hanging="567"/>
      <w:contextualSpacing/>
    </w:pPr>
  </w:style>
  <w:style w:type="paragraph" w:customStyle="1" w:styleId="Bulletpointuppera">
    <w:name w:val="Bullet point upper a"/>
    <w:basedOn w:val="Bulletpointa"/>
    <w:qFormat/>
    <w:rsid w:val="000029B9"/>
    <w:pPr>
      <w:numPr>
        <w:numId w:val="24"/>
      </w:numPr>
    </w:pPr>
  </w:style>
  <w:style w:type="paragraph" w:styleId="NormalIndent">
    <w:name w:val="Normal Indent"/>
    <w:basedOn w:val="Normal"/>
    <w:uiPriority w:val="98"/>
    <w:rsid w:val="0087106B"/>
    <w:pPr>
      <w:ind w:left="340"/>
    </w:pPr>
  </w:style>
  <w:style w:type="paragraph" w:styleId="NoSpacing">
    <w:name w:val="No Spacing"/>
    <w:uiPriority w:val="2"/>
    <w:qFormat/>
    <w:rsid w:val="00E257B0"/>
    <w:pPr>
      <w:spacing w:after="0" w:line="240" w:lineRule="auto"/>
    </w:pPr>
    <w:rPr>
      <w:rFonts w:ascii="Calibri" w:hAnsi="Calibri"/>
    </w:rPr>
  </w:style>
  <w:style w:type="paragraph" w:customStyle="1" w:styleId="Rubrik1Center">
    <w:name w:val="Rubrik 1 Center"/>
    <w:basedOn w:val="Heading1"/>
    <w:uiPriority w:val="1"/>
    <w:qFormat/>
    <w:rsid w:val="005B73A0"/>
    <w:pPr>
      <w:jc w:val="center"/>
    </w:pPr>
  </w:style>
  <w:style w:type="paragraph" w:customStyle="1" w:styleId="Heading1EnglishCenter">
    <w:name w:val="Heading 1 English Center"/>
    <w:basedOn w:val="Heading1English"/>
    <w:uiPriority w:val="1"/>
    <w:qFormat/>
    <w:rsid w:val="005B73A0"/>
    <w:pPr>
      <w:jc w:val="center"/>
    </w:pPr>
  </w:style>
  <w:style w:type="paragraph" w:customStyle="1" w:styleId="Rubrik2Center">
    <w:name w:val="Rubrik 2 Center"/>
    <w:basedOn w:val="Heading2"/>
    <w:uiPriority w:val="1"/>
    <w:qFormat/>
    <w:rsid w:val="005B73A0"/>
    <w:pPr>
      <w:jc w:val="center"/>
    </w:pPr>
  </w:style>
  <w:style w:type="paragraph" w:customStyle="1" w:styleId="Heading2EnglishCenter">
    <w:name w:val="Heading 2 English Center"/>
    <w:basedOn w:val="Heading2English"/>
    <w:uiPriority w:val="1"/>
    <w:qFormat/>
    <w:rsid w:val="005B73A0"/>
    <w:pPr>
      <w:jc w:val="center"/>
    </w:pPr>
  </w:style>
  <w:style w:type="paragraph" w:customStyle="1" w:styleId="Rubrik3Center">
    <w:name w:val="Rubrik 3 Center"/>
    <w:basedOn w:val="Heading3"/>
    <w:uiPriority w:val="1"/>
    <w:qFormat/>
    <w:rsid w:val="005B73A0"/>
    <w:pPr>
      <w:jc w:val="center"/>
    </w:pPr>
  </w:style>
  <w:style w:type="paragraph" w:customStyle="1" w:styleId="Heading3EnglishCenter">
    <w:name w:val="Heading 3 English Center"/>
    <w:basedOn w:val="Heading3English"/>
    <w:uiPriority w:val="1"/>
    <w:qFormat/>
    <w:rsid w:val="005B73A0"/>
    <w:pPr>
      <w:jc w:val="center"/>
    </w:pPr>
  </w:style>
  <w:style w:type="paragraph" w:customStyle="1" w:styleId="NormalCenter">
    <w:name w:val="Normal Center"/>
    <w:basedOn w:val="Normal"/>
    <w:uiPriority w:val="1"/>
    <w:qFormat/>
    <w:rsid w:val="005B73A0"/>
    <w:pPr>
      <w:jc w:val="center"/>
    </w:pPr>
  </w:style>
  <w:style w:type="paragraph" w:customStyle="1" w:styleId="NormalEnglishCenter">
    <w:name w:val="Normal English Center"/>
    <w:basedOn w:val="NormalEnglish"/>
    <w:uiPriority w:val="1"/>
    <w:qFormat/>
    <w:rsid w:val="00AB380E"/>
    <w:pPr>
      <w:jc w:val="center"/>
    </w:pPr>
  </w:style>
  <w:style w:type="paragraph" w:styleId="Header">
    <w:name w:val="header"/>
    <w:basedOn w:val="Normal"/>
    <w:link w:val="HeaderChar"/>
    <w:uiPriority w:val="99"/>
    <w:unhideWhenUsed/>
    <w:rsid w:val="00256697"/>
    <w:pPr>
      <w:tabs>
        <w:tab w:val="center" w:pos="4536"/>
        <w:tab w:val="right" w:pos="9072"/>
      </w:tabs>
      <w:spacing w:before="0"/>
    </w:pPr>
  </w:style>
  <w:style w:type="character" w:customStyle="1" w:styleId="HeaderChar">
    <w:name w:val="Header Char"/>
    <w:basedOn w:val="DefaultParagraphFont"/>
    <w:link w:val="Header"/>
    <w:uiPriority w:val="99"/>
    <w:rsid w:val="00256697"/>
    <w:rPr>
      <w:rFonts w:ascii="Calibri" w:hAnsi="Calibri"/>
    </w:rPr>
  </w:style>
  <w:style w:type="paragraph" w:styleId="Footer">
    <w:name w:val="footer"/>
    <w:basedOn w:val="Normal"/>
    <w:link w:val="FooterChar"/>
    <w:uiPriority w:val="99"/>
    <w:unhideWhenUsed/>
    <w:rsid w:val="00256697"/>
    <w:pPr>
      <w:tabs>
        <w:tab w:val="center" w:pos="4536"/>
        <w:tab w:val="right" w:pos="9072"/>
      </w:tabs>
      <w:spacing w:before="0"/>
    </w:pPr>
  </w:style>
  <w:style w:type="character" w:customStyle="1" w:styleId="FooterChar">
    <w:name w:val="Footer Char"/>
    <w:basedOn w:val="DefaultParagraphFont"/>
    <w:link w:val="Footer"/>
    <w:uiPriority w:val="99"/>
    <w:rsid w:val="00256697"/>
    <w:rPr>
      <w:rFonts w:ascii="Calibri" w:hAnsi="Calibri"/>
    </w:rPr>
  </w:style>
  <w:style w:type="character" w:styleId="CommentReference">
    <w:name w:val="annotation reference"/>
    <w:basedOn w:val="DefaultParagraphFont"/>
    <w:uiPriority w:val="99"/>
    <w:semiHidden/>
    <w:unhideWhenUsed/>
    <w:rsid w:val="00751442"/>
    <w:rPr>
      <w:sz w:val="16"/>
      <w:szCs w:val="16"/>
    </w:rPr>
  </w:style>
  <w:style w:type="paragraph" w:styleId="CommentText">
    <w:name w:val="annotation text"/>
    <w:basedOn w:val="Normal"/>
    <w:link w:val="CommentTextChar"/>
    <w:uiPriority w:val="99"/>
    <w:semiHidden/>
    <w:unhideWhenUsed/>
    <w:rsid w:val="00751442"/>
    <w:rPr>
      <w:sz w:val="20"/>
      <w:szCs w:val="20"/>
    </w:rPr>
  </w:style>
  <w:style w:type="character" w:customStyle="1" w:styleId="CommentTextChar">
    <w:name w:val="Comment Text Char"/>
    <w:basedOn w:val="DefaultParagraphFont"/>
    <w:link w:val="CommentText"/>
    <w:uiPriority w:val="99"/>
    <w:semiHidden/>
    <w:rsid w:val="00751442"/>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51442"/>
    <w:rPr>
      <w:b/>
      <w:bCs/>
    </w:rPr>
  </w:style>
  <w:style w:type="character" w:customStyle="1" w:styleId="CommentSubjectChar">
    <w:name w:val="Comment Subject Char"/>
    <w:basedOn w:val="CommentTextChar"/>
    <w:link w:val="CommentSubject"/>
    <w:uiPriority w:val="99"/>
    <w:semiHidden/>
    <w:rsid w:val="00751442"/>
    <w:rPr>
      <w:rFonts w:ascii="Calibri" w:hAnsi="Calibri"/>
      <w:b/>
      <w:bCs/>
      <w:sz w:val="20"/>
      <w:szCs w:val="20"/>
    </w:rPr>
  </w:style>
  <w:style w:type="paragraph" w:styleId="BalloonText">
    <w:name w:val="Balloon Text"/>
    <w:basedOn w:val="Normal"/>
    <w:link w:val="BalloonTextChar"/>
    <w:uiPriority w:val="99"/>
    <w:semiHidden/>
    <w:unhideWhenUsed/>
    <w:rsid w:val="00751442"/>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442"/>
    <w:rPr>
      <w:rFonts w:ascii="Segoe UI" w:hAnsi="Segoe UI" w:cs="Segoe UI"/>
      <w:sz w:val="18"/>
      <w:szCs w:val="18"/>
    </w:rPr>
  </w:style>
  <w:style w:type="paragraph" w:styleId="FootnoteText">
    <w:name w:val="footnote text"/>
    <w:basedOn w:val="Normal"/>
    <w:link w:val="FootnoteTextChar"/>
    <w:uiPriority w:val="99"/>
    <w:semiHidden/>
    <w:unhideWhenUsed/>
    <w:rsid w:val="00326E78"/>
    <w:pPr>
      <w:spacing w:before="0"/>
    </w:pPr>
    <w:rPr>
      <w:sz w:val="20"/>
      <w:szCs w:val="20"/>
    </w:rPr>
  </w:style>
  <w:style w:type="character" w:customStyle="1" w:styleId="FootnoteTextChar">
    <w:name w:val="Footnote Text Char"/>
    <w:basedOn w:val="DefaultParagraphFont"/>
    <w:link w:val="FootnoteText"/>
    <w:uiPriority w:val="99"/>
    <w:semiHidden/>
    <w:rsid w:val="00326E78"/>
    <w:rPr>
      <w:rFonts w:ascii="Calibri" w:hAnsi="Calibri"/>
      <w:sz w:val="20"/>
      <w:szCs w:val="20"/>
    </w:rPr>
  </w:style>
  <w:style w:type="character" w:styleId="FootnoteReference">
    <w:name w:val="footnote reference"/>
    <w:basedOn w:val="DefaultParagraphFont"/>
    <w:uiPriority w:val="99"/>
    <w:semiHidden/>
    <w:unhideWhenUsed/>
    <w:rsid w:val="00326E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01D94-2B0E-46CE-A546-5A512CDA5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5392</Words>
  <Characters>33877</Characters>
  <Application>Microsoft Office Word</Application>
  <DocSecurity>0</DocSecurity>
  <Lines>546</Lines>
  <Paragraphs>122</Paragraphs>
  <ScaleCrop>false</ScaleCrop>
  <HeadingPairs>
    <vt:vector size="4" baseType="variant">
      <vt:variant>
        <vt:lpstr>Title</vt:lpstr>
      </vt:variant>
      <vt:variant>
        <vt:i4>1</vt:i4>
      </vt:variant>
      <vt:variant>
        <vt:lpstr>Rubrik</vt:lpstr>
      </vt:variant>
      <vt:variant>
        <vt:i4>1</vt:i4>
      </vt:variant>
    </vt:vector>
  </HeadingPairs>
  <Company/>
  <LinksUpToDate>false</LinksUpToDate>
  <CharactersWithSpaces>39147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cp:lastModifiedBy/>
  <cp:revision>1</cp:revision>
  <dcterms:created xsi:type="dcterms:W3CDTF">2019-10-23T16:51:00Z</dcterms:created>
  <dcterms:modified xsi:type="dcterms:W3CDTF">2019-10-23T16:51:00Z</dcterms:modified>
</cp:coreProperties>
</file>